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90AF" w14:textId="27899B72" w:rsidR="00724AE4" w:rsidRPr="0000463F" w:rsidRDefault="00086A62" w:rsidP="005776F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lang w:val="en-US"/>
        </w:rPr>
        <w:t>0/88</w:t>
      </w:r>
    </w:p>
    <w:p w14:paraId="4AC37851" w14:textId="4946DF61" w:rsidR="0062326F" w:rsidRPr="0062326F" w:rsidRDefault="00843747" w:rsidP="0062326F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  <w:t>REMix</w:t>
      </w:r>
      <w:proofErr w:type="spellEnd"/>
      <w:r w:rsidR="008A56D4">
        <w:rPr>
          <w:rFonts w:asciiTheme="minorHAnsi" w:eastAsiaTheme="minorHAnsi" w:hAnsiTheme="minorHAnsi" w:cstheme="minorHAnsi"/>
          <w:b/>
          <w:color w:val="365F91" w:themeColor="accent1" w:themeShade="BF"/>
          <w:sz w:val="22"/>
          <w:szCs w:val="22"/>
          <w:lang w:val="en-GB" w:eastAsia="en-US"/>
        </w:rPr>
        <w:t xml:space="preserve"> COURSE SYLLABUS </w:t>
      </w:r>
    </w:p>
    <w:tbl>
      <w:tblPr>
        <w:tblW w:w="1032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72"/>
        <w:gridCol w:w="709"/>
        <w:gridCol w:w="709"/>
        <w:gridCol w:w="850"/>
        <w:gridCol w:w="1701"/>
        <w:gridCol w:w="2552"/>
        <w:gridCol w:w="135"/>
        <w:gridCol w:w="1263"/>
        <w:gridCol w:w="1265"/>
        <w:gridCol w:w="9"/>
      </w:tblGrid>
      <w:tr w:rsidR="008A56D4" w:rsidRPr="00513D37" w14:paraId="7232653D" w14:textId="77777777" w:rsidTr="59EA390A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47EBA719" w14:textId="77777777" w:rsidR="008A56D4" w:rsidRPr="00095141" w:rsidRDefault="008A56D4" w:rsidP="0081770D">
            <w:pPr>
              <w:ind w:left="84"/>
              <w:rPr>
                <w:b/>
                <w:lang w:val="en-US"/>
              </w:rPr>
            </w:pPr>
            <w:r w:rsidRPr="00095141">
              <w:rPr>
                <w:b/>
                <w:lang w:val="en-US"/>
              </w:rPr>
              <w:t xml:space="preserve">Name of the course: 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36764499" w14:textId="63701D27" w:rsidR="008A56D4" w:rsidRPr="00513D37" w:rsidRDefault="00086A62" w:rsidP="0081770D">
            <w:pPr>
              <w:pStyle w:val="Zawartotabeli"/>
              <w:snapToGrid w:val="0"/>
              <w:ind w:left="88"/>
              <w:rPr>
                <w:b/>
                <w:bCs/>
                <w:color w:val="17365D"/>
                <w:lang w:val="en-US"/>
              </w:rPr>
            </w:pPr>
            <w:r w:rsidRPr="00086A62">
              <w:rPr>
                <w:b/>
                <w:bCs/>
                <w:color w:val="17365D"/>
              </w:rPr>
              <w:t xml:space="preserve">REMix: The University as an advocate for responsible education about migration in Europe – </w:t>
            </w:r>
            <w:r>
              <w:rPr>
                <w:b/>
                <w:bCs/>
                <w:color w:val="17365D"/>
              </w:rPr>
              <w:t>SOCIOLOGY OF MIGRATION</w:t>
            </w:r>
          </w:p>
        </w:tc>
      </w:tr>
      <w:tr w:rsidR="008A56D4" w:rsidRPr="00513D37" w14:paraId="7B63086E" w14:textId="77777777" w:rsidTr="59EA390A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1262D631" w14:textId="77777777" w:rsidR="008A56D4" w:rsidRPr="00095141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E-learning hours: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74BFC12E" w14:textId="35AA6B42" w:rsidR="008A56D4" w:rsidRPr="00513D37" w:rsidRDefault="00086A62" w:rsidP="0081770D">
            <w:pPr>
              <w:pStyle w:val="Zawartotabeli"/>
              <w:snapToGrid w:val="0"/>
              <w:ind w:left="88"/>
              <w:rPr>
                <w:b/>
                <w:bCs/>
                <w:color w:val="17365D"/>
                <w:lang w:val="en-US"/>
              </w:rPr>
            </w:pPr>
            <w:r>
              <w:rPr>
                <w:b/>
                <w:bCs/>
                <w:color w:val="17365D"/>
                <w:lang w:val="en-US"/>
              </w:rPr>
              <w:t>30</w:t>
            </w:r>
          </w:p>
        </w:tc>
      </w:tr>
      <w:tr w:rsidR="008A56D4" w:rsidRPr="00513D37" w14:paraId="1FF80A77" w14:textId="77777777" w:rsidTr="59EA390A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21475495" w14:textId="77777777" w:rsidR="008A56D4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48848BE7" w14:textId="67D63C3A" w:rsidR="008A56D4" w:rsidRDefault="00086A62" w:rsidP="0081770D">
            <w:pPr>
              <w:pStyle w:val="Zawartotabeli"/>
              <w:snapToGrid w:val="0"/>
              <w:ind w:left="88"/>
              <w:rPr>
                <w:b/>
                <w:bCs/>
                <w:color w:val="17365D"/>
                <w:lang w:val="en-US"/>
              </w:rPr>
            </w:pPr>
            <w:r>
              <w:rPr>
                <w:b/>
                <w:bCs/>
                <w:color w:val="17365D"/>
                <w:lang w:val="en-US"/>
              </w:rPr>
              <w:t xml:space="preserve">Barbara Gornik </w:t>
            </w:r>
          </w:p>
        </w:tc>
      </w:tr>
      <w:tr w:rsidR="008A56D4" w:rsidRPr="00513D37" w14:paraId="0C1902B8" w14:textId="77777777" w:rsidTr="59EA390A">
        <w:trPr>
          <w:trHeight w:val="435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14:paraId="09B64024" w14:textId="77777777" w:rsidR="008A56D4" w:rsidRDefault="008A56D4" w:rsidP="0081770D">
            <w:pPr>
              <w:ind w:left="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University:</w:t>
            </w:r>
          </w:p>
        </w:tc>
        <w:tc>
          <w:tcPr>
            <w:tcW w:w="7775" w:type="dxa"/>
            <w:gridSpan w:val="7"/>
            <w:shd w:val="clear" w:color="auto" w:fill="EAF1DD" w:themeFill="accent3" w:themeFillTint="33"/>
            <w:vAlign w:val="center"/>
          </w:tcPr>
          <w:p w14:paraId="2FC74E71" w14:textId="78215E9F" w:rsidR="008A56D4" w:rsidRDefault="1D07599C" w:rsidP="0081770D">
            <w:pPr>
              <w:pStyle w:val="Zawartotabeli"/>
              <w:snapToGrid w:val="0"/>
              <w:ind w:left="88"/>
              <w:rPr>
                <w:b/>
                <w:bCs/>
                <w:color w:val="17365D"/>
                <w:lang w:val="en-US"/>
              </w:rPr>
            </w:pPr>
            <w:r w:rsidRPr="59EA390A">
              <w:rPr>
                <w:b/>
                <w:bCs/>
                <w:color w:val="17365D" w:themeColor="text2" w:themeShade="BF"/>
                <w:lang w:val="en-US"/>
              </w:rPr>
              <w:t xml:space="preserve"> </w:t>
            </w:r>
            <w:r w:rsidR="00086A62">
              <w:rPr>
                <w:b/>
                <w:bCs/>
                <w:color w:val="17365D" w:themeColor="text2" w:themeShade="BF"/>
                <w:lang w:val="en-US"/>
              </w:rPr>
              <w:t>Science and Research Centre Koper</w:t>
            </w:r>
          </w:p>
        </w:tc>
      </w:tr>
      <w:tr w:rsidR="008A56D4" w:rsidRPr="004601FD" w14:paraId="1F415CEC" w14:textId="77777777" w:rsidTr="59EA390A">
        <w:trPr>
          <w:trHeight w:val="15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D869651" w14:textId="59377FD5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1</w:t>
            </w:r>
            <w:r w:rsidR="008A56D4" w:rsidRPr="004601FD">
              <w:rPr>
                <w:b/>
                <w:color w:val="FFFFFF"/>
                <w:lang w:val="en-US"/>
              </w:rPr>
              <w:t>. Objectives of the course:</w:t>
            </w:r>
          </w:p>
        </w:tc>
      </w:tr>
      <w:tr w:rsidR="008A56D4" w:rsidRPr="00513D37" w14:paraId="0E96038D" w14:textId="77777777" w:rsidTr="59EA390A">
        <w:trPr>
          <w:trHeight w:val="652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2C51E7A7" w14:textId="35D76105" w:rsidR="00086A62" w:rsidRPr="00936AAA" w:rsidRDefault="00086A62" w:rsidP="00086A62">
            <w:pPr>
              <w:rPr>
                <w:sz w:val="22"/>
                <w:szCs w:val="22"/>
                <w:lang w:val="en-US"/>
              </w:rPr>
            </w:pPr>
            <w:r w:rsidRPr="00936AAA">
              <w:rPr>
                <w:sz w:val="22"/>
                <w:szCs w:val="22"/>
                <w:lang w:val="en-US"/>
              </w:rPr>
              <w:t xml:space="preserve">The course aims to </w:t>
            </w:r>
            <w:r w:rsidR="00661527" w:rsidRPr="00936AAA">
              <w:rPr>
                <w:sz w:val="22"/>
                <w:szCs w:val="22"/>
                <w:lang w:val="en-US"/>
              </w:rPr>
              <w:t xml:space="preserve">deliver </w:t>
            </w:r>
            <w:r w:rsidR="00936AAA" w:rsidRPr="00936AAA">
              <w:rPr>
                <w:sz w:val="22"/>
                <w:szCs w:val="22"/>
                <w:lang w:val="en-US"/>
              </w:rPr>
              <w:t>basic</w:t>
            </w:r>
            <w:r w:rsidRPr="00936AAA">
              <w:rPr>
                <w:sz w:val="22"/>
                <w:szCs w:val="22"/>
                <w:lang w:val="en-US"/>
              </w:rPr>
              <w:t xml:space="preserve"> knowledge on </w:t>
            </w:r>
            <w:r w:rsidR="00661527" w:rsidRPr="00936AAA">
              <w:rPr>
                <w:sz w:val="22"/>
                <w:szCs w:val="22"/>
                <w:lang w:val="en-US"/>
              </w:rPr>
              <w:t>sociology of</w:t>
            </w:r>
            <w:r w:rsidRPr="00936AAA">
              <w:rPr>
                <w:sz w:val="22"/>
                <w:szCs w:val="22"/>
                <w:lang w:val="en-US"/>
              </w:rPr>
              <w:t xml:space="preserve"> migration</w:t>
            </w:r>
            <w:r w:rsidR="00661527" w:rsidRPr="00936AAA">
              <w:rPr>
                <w:sz w:val="22"/>
                <w:szCs w:val="22"/>
                <w:lang w:val="en-US"/>
              </w:rPr>
              <w:t xml:space="preserve">, and thereby enable </w:t>
            </w:r>
            <w:r w:rsidRPr="00936AAA">
              <w:rPr>
                <w:sz w:val="22"/>
                <w:szCs w:val="22"/>
                <w:lang w:val="en-US"/>
              </w:rPr>
              <w:t>analytical understanding of particular current situations in th</w:t>
            </w:r>
            <w:r w:rsidR="00936AAA" w:rsidRPr="00936AAA">
              <w:rPr>
                <w:sz w:val="22"/>
                <w:szCs w:val="22"/>
                <w:lang w:val="en-US"/>
              </w:rPr>
              <w:t>is</w:t>
            </w:r>
            <w:r w:rsidRPr="00936AAA">
              <w:rPr>
                <w:sz w:val="22"/>
                <w:szCs w:val="22"/>
                <w:lang w:val="en-US"/>
              </w:rPr>
              <w:t xml:space="preserve"> field, the logic of their development, issues and their broader legal, social and cultural aspect</w:t>
            </w:r>
            <w:r w:rsidR="00661527" w:rsidRPr="00936AAA">
              <w:rPr>
                <w:sz w:val="22"/>
                <w:szCs w:val="22"/>
                <w:lang w:val="en-US"/>
              </w:rPr>
              <w:t xml:space="preserve">. More specifically, the course aims to offer: </w:t>
            </w:r>
          </w:p>
          <w:p w14:paraId="60C73AF7" w14:textId="63791526" w:rsidR="00086A62" w:rsidRPr="00936AAA" w:rsidRDefault="00086A62" w:rsidP="00086A6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936AAA">
              <w:rPr>
                <w:sz w:val="22"/>
                <w:szCs w:val="22"/>
                <w:lang w:val="en-US"/>
              </w:rPr>
              <w:t xml:space="preserve">knowledge on </w:t>
            </w:r>
            <w:r w:rsidR="00CA4544" w:rsidRPr="00936AAA">
              <w:rPr>
                <w:bCs/>
                <w:sz w:val="22"/>
                <w:szCs w:val="22"/>
                <w:lang w:val="en-US"/>
              </w:rPr>
              <w:t xml:space="preserve">key sociological theories, approaches, themes, concepts and issues in </w:t>
            </w:r>
            <w:r w:rsidRPr="00936AAA">
              <w:rPr>
                <w:sz w:val="22"/>
                <w:szCs w:val="22"/>
                <w:lang w:val="en-US"/>
              </w:rPr>
              <w:t xml:space="preserve">migration </w:t>
            </w:r>
            <w:r w:rsidR="00CA4544" w:rsidRPr="00936AAA">
              <w:rPr>
                <w:sz w:val="22"/>
                <w:szCs w:val="22"/>
                <w:lang w:val="en-US"/>
              </w:rPr>
              <w:t>studies</w:t>
            </w:r>
          </w:p>
          <w:p w14:paraId="562DFC75" w14:textId="7813F535" w:rsidR="00086A62" w:rsidRPr="00936AAA" w:rsidRDefault="00CA4544" w:rsidP="00086A6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936AAA">
              <w:rPr>
                <w:sz w:val="22"/>
                <w:szCs w:val="22"/>
                <w:lang w:val="en-US"/>
              </w:rPr>
              <w:t>understanding of migration on national, European and international level</w:t>
            </w:r>
          </w:p>
          <w:p w14:paraId="3D3AEF78" w14:textId="564A9259" w:rsidR="00086A62" w:rsidRPr="00936AAA" w:rsidRDefault="00CA4544" w:rsidP="00086A6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936AAA">
              <w:rPr>
                <w:sz w:val="22"/>
                <w:szCs w:val="22"/>
                <w:lang w:val="en-US"/>
              </w:rPr>
              <w:t>insight into interdisciplinary (legal, political, sociological) understanding of contemporary migration processes</w:t>
            </w:r>
          </w:p>
          <w:p w14:paraId="6CD8DC53" w14:textId="7E78C7EB" w:rsidR="00086A62" w:rsidRPr="00936AAA" w:rsidRDefault="00CA4544" w:rsidP="00086A6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936AAA">
              <w:rPr>
                <w:sz w:val="22"/>
                <w:szCs w:val="22"/>
                <w:lang w:val="en-US"/>
              </w:rPr>
              <w:t>capacity to critically assess migration processes through contemporary power relations</w:t>
            </w:r>
          </w:p>
          <w:p w14:paraId="372F93C7" w14:textId="77777777" w:rsidR="00CA4544" w:rsidRPr="00936AAA" w:rsidRDefault="00CA4544" w:rsidP="00CA454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936AAA">
              <w:rPr>
                <w:sz w:val="22"/>
                <w:szCs w:val="22"/>
                <w:lang w:val="en-US"/>
              </w:rPr>
              <w:t xml:space="preserve">strengthening of competences for the identification of issues and solutions for the issues. </w:t>
            </w:r>
          </w:p>
          <w:p w14:paraId="5689565C" w14:textId="39BB85DF" w:rsidR="00086A62" w:rsidRPr="00936AAA" w:rsidRDefault="00CA4544" w:rsidP="00086A6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936AAA">
              <w:rPr>
                <w:sz w:val="22"/>
                <w:szCs w:val="22"/>
                <w:lang w:val="en-US"/>
              </w:rPr>
              <w:t>building research, writing and referencing skills</w:t>
            </w:r>
          </w:p>
          <w:p w14:paraId="299685C1" w14:textId="77777777" w:rsidR="008A56D4" w:rsidRPr="00513D37" w:rsidRDefault="008A56D4" w:rsidP="00CA4544">
            <w:pPr>
              <w:pStyle w:val="ListParagraph"/>
              <w:ind w:left="1080"/>
              <w:rPr>
                <w:lang w:val="en-US"/>
              </w:rPr>
            </w:pPr>
          </w:p>
        </w:tc>
      </w:tr>
      <w:tr w:rsidR="008A56D4" w:rsidRPr="00B35D5E" w14:paraId="6B6D94C5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C12E1CF" w14:textId="4B1010C0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2</w:t>
            </w:r>
            <w:r w:rsidR="008A56D4" w:rsidRPr="004601FD">
              <w:rPr>
                <w:b/>
                <w:color w:val="FFFFFF"/>
                <w:lang w:val="en-US"/>
              </w:rPr>
              <w:t xml:space="preserve">. </w:t>
            </w:r>
            <w:r>
              <w:rPr>
                <w:b/>
                <w:color w:val="FFFFFF"/>
                <w:lang w:val="en-US"/>
              </w:rPr>
              <w:t>L</w:t>
            </w:r>
            <w:r w:rsidR="008A56D4" w:rsidRPr="004601FD">
              <w:rPr>
                <w:b/>
                <w:color w:val="FFFFFF"/>
                <w:lang w:val="en-US"/>
              </w:rPr>
              <w:t>earning outcomes of the course:</w:t>
            </w:r>
          </w:p>
        </w:tc>
      </w:tr>
      <w:tr w:rsidR="008A56D4" w:rsidRPr="00B35D5E" w14:paraId="658F93FF" w14:textId="77777777" w:rsidTr="59EA390A">
        <w:trPr>
          <w:gridAfter w:val="1"/>
          <w:wAfter w:w="9" w:type="dxa"/>
          <w:trHeight w:val="454"/>
        </w:trPr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5F129D9" w14:textId="425F604E" w:rsidR="008A56D4" w:rsidRPr="00095141" w:rsidRDefault="008A56D4" w:rsidP="008177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84" w:type="dxa"/>
            <w:gridSpan w:val="8"/>
            <w:shd w:val="clear" w:color="auto" w:fill="D9D9D9" w:themeFill="background1" w:themeFillShade="D9"/>
            <w:vAlign w:val="center"/>
          </w:tcPr>
          <w:p w14:paraId="6FDF5367" w14:textId="77777777" w:rsidR="008A56D4" w:rsidRPr="00095141" w:rsidRDefault="008A56D4" w:rsidP="0081770D">
            <w:pPr>
              <w:rPr>
                <w:b/>
                <w:color w:val="17365D"/>
                <w:lang w:val="en-US"/>
              </w:rPr>
            </w:pPr>
            <w:r w:rsidRPr="00095141">
              <w:rPr>
                <w:b/>
                <w:lang w:val="en-US"/>
              </w:rPr>
              <w:t>Learning outcomes of the course</w:t>
            </w:r>
          </w:p>
        </w:tc>
      </w:tr>
      <w:tr w:rsidR="008A56D4" w:rsidRPr="00B35D5E" w14:paraId="25456D9C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FFFFFF" w:themeFill="background1"/>
            <w:vAlign w:val="center"/>
          </w:tcPr>
          <w:p w14:paraId="7DC5B889" w14:textId="3E7F779B" w:rsidR="008A56D4" w:rsidRPr="00CA4544" w:rsidRDefault="00B35D5E" w:rsidP="0081770D">
            <w:pPr>
              <w:rPr>
                <w:sz w:val="22"/>
                <w:szCs w:val="22"/>
                <w:lang w:val="en-US"/>
              </w:rPr>
            </w:pPr>
            <w:r w:rsidRPr="00CA4544">
              <w:rPr>
                <w:sz w:val="22"/>
                <w:szCs w:val="22"/>
                <w:lang w:val="en-US"/>
              </w:rPr>
              <w:t>Participants</w:t>
            </w:r>
            <w:r w:rsidR="008A56D4" w:rsidRPr="00CA4544">
              <w:rPr>
                <w:sz w:val="22"/>
                <w:szCs w:val="22"/>
                <w:lang w:val="en-US"/>
              </w:rPr>
              <w:t xml:space="preserve"> </w:t>
            </w:r>
            <w:r w:rsidR="008A56D4" w:rsidRPr="00CA4544">
              <w:rPr>
                <w:sz w:val="22"/>
                <w:szCs w:val="22"/>
                <w:lang w:val="en-GB"/>
              </w:rPr>
              <w:t>should</w:t>
            </w:r>
            <w:r w:rsidR="00936AAA">
              <w:rPr>
                <w:sz w:val="22"/>
                <w:szCs w:val="22"/>
                <w:lang w:val="en-GB"/>
              </w:rPr>
              <w:t xml:space="preserve"> be able to</w:t>
            </w:r>
            <w:r w:rsidR="008A56D4" w:rsidRPr="00CA4544">
              <w:rPr>
                <w:sz w:val="22"/>
                <w:szCs w:val="22"/>
                <w:lang w:val="en-US"/>
              </w:rPr>
              <w:t>:</w:t>
            </w:r>
          </w:p>
        </w:tc>
      </w:tr>
      <w:tr w:rsidR="008A56D4" w:rsidRPr="00513D37" w14:paraId="50451242" w14:textId="77777777" w:rsidTr="59EA390A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738ACDAA" w14:textId="3CB243BD" w:rsidR="008A56D4" w:rsidRPr="00CA4544" w:rsidRDefault="008A56D4" w:rsidP="0081770D">
            <w:pPr>
              <w:jc w:val="center"/>
              <w:rPr>
                <w:sz w:val="22"/>
                <w:szCs w:val="22"/>
              </w:rPr>
            </w:pPr>
            <w:r w:rsidRPr="00CA4544">
              <w:rPr>
                <w:sz w:val="22"/>
                <w:szCs w:val="22"/>
              </w:rPr>
              <w:t>01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2F00E45A" w14:textId="7143CA8C" w:rsidR="008A56D4" w:rsidRPr="00936AAA" w:rsidRDefault="00936AAA" w:rsidP="00AD408A">
            <w:pPr>
              <w:rPr>
                <w:sz w:val="22"/>
                <w:szCs w:val="22"/>
                <w:lang w:val="en-US"/>
              </w:rPr>
            </w:pPr>
            <w:r w:rsidRPr="00936AAA">
              <w:rPr>
                <w:color w:val="000000"/>
                <w:sz w:val="22"/>
                <w:szCs w:val="22"/>
              </w:rPr>
              <w:t>describe and outline</w:t>
            </w:r>
            <w:r w:rsidR="00AD408A" w:rsidRPr="00936AAA">
              <w:rPr>
                <w:sz w:val="22"/>
                <w:szCs w:val="22"/>
                <w:lang w:val="en-US"/>
              </w:rPr>
              <w:t xml:space="preserve"> </w:t>
            </w:r>
            <w:r w:rsidR="00AD408A" w:rsidRPr="00936AAA">
              <w:rPr>
                <w:bCs/>
                <w:sz w:val="22"/>
                <w:szCs w:val="22"/>
                <w:lang w:val="en-US"/>
              </w:rPr>
              <w:t xml:space="preserve">key sociological </w:t>
            </w:r>
            <w:r w:rsidR="00CA4544" w:rsidRPr="00936AAA">
              <w:rPr>
                <w:bCs/>
                <w:sz w:val="22"/>
                <w:szCs w:val="22"/>
                <w:lang w:val="en-US"/>
              </w:rPr>
              <w:t xml:space="preserve">theories and </w:t>
            </w:r>
            <w:r w:rsidR="00AD408A" w:rsidRPr="00936AAA">
              <w:rPr>
                <w:bCs/>
                <w:sz w:val="22"/>
                <w:szCs w:val="22"/>
                <w:lang w:val="en-US"/>
              </w:rPr>
              <w:t xml:space="preserve">approaches to the study of migration, </w:t>
            </w:r>
          </w:p>
        </w:tc>
      </w:tr>
      <w:tr w:rsidR="008A56D4" w:rsidRPr="00513D37" w14:paraId="3F179694" w14:textId="77777777" w:rsidTr="59EA390A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04DA4559" w14:textId="1DDD7830" w:rsidR="008A56D4" w:rsidRPr="00CA4544" w:rsidRDefault="008A56D4" w:rsidP="0081770D">
            <w:pPr>
              <w:jc w:val="center"/>
              <w:rPr>
                <w:sz w:val="22"/>
                <w:szCs w:val="22"/>
              </w:rPr>
            </w:pPr>
            <w:r w:rsidRPr="00CA4544">
              <w:rPr>
                <w:sz w:val="22"/>
                <w:szCs w:val="22"/>
              </w:rPr>
              <w:t>02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44A312DE" w14:textId="69AA4C0D" w:rsidR="008A56D4" w:rsidRPr="00CA4544" w:rsidRDefault="00936AAA" w:rsidP="00AD408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understand</w:t>
            </w:r>
            <w:r w:rsidR="00AD408A" w:rsidRPr="00CA4544">
              <w:rPr>
                <w:bCs/>
                <w:sz w:val="22"/>
                <w:szCs w:val="22"/>
                <w:lang w:val="en-US"/>
              </w:rPr>
              <w:t xml:space="preserve"> key themes</w:t>
            </w:r>
            <w:r w:rsidR="00CA4544" w:rsidRPr="00CA4544">
              <w:rPr>
                <w:bCs/>
                <w:sz w:val="22"/>
                <w:szCs w:val="22"/>
                <w:lang w:val="en-US"/>
              </w:rPr>
              <w:t>, concepts and issues</w:t>
            </w:r>
            <w:r w:rsidR="00AD408A" w:rsidRPr="00CA4544">
              <w:rPr>
                <w:bCs/>
                <w:sz w:val="22"/>
                <w:szCs w:val="22"/>
                <w:lang w:val="en-US"/>
              </w:rPr>
              <w:t xml:space="preserve"> that appear in sociological studies of migration</w:t>
            </w:r>
          </w:p>
        </w:tc>
      </w:tr>
      <w:tr w:rsidR="008A56D4" w:rsidRPr="00513D37" w14:paraId="340D4D95" w14:textId="77777777" w:rsidTr="59EA390A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06F893FF" w14:textId="54588AB3" w:rsidR="008A56D4" w:rsidRPr="00CA4544" w:rsidRDefault="008A56D4" w:rsidP="0081770D">
            <w:pPr>
              <w:jc w:val="center"/>
              <w:rPr>
                <w:sz w:val="22"/>
                <w:szCs w:val="22"/>
              </w:rPr>
            </w:pPr>
            <w:r w:rsidRPr="00CA4544">
              <w:rPr>
                <w:sz w:val="22"/>
                <w:szCs w:val="22"/>
              </w:rPr>
              <w:t>03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09524427" w14:textId="0B75F61E" w:rsidR="008A56D4" w:rsidRPr="00CA4544" w:rsidRDefault="00936AAA" w:rsidP="00AD408A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</w:t>
            </w:r>
            <w:r w:rsidRPr="00936AAA">
              <w:rPr>
                <w:bCs/>
                <w:sz w:val="22"/>
                <w:szCs w:val="22"/>
                <w:lang w:val="en-US"/>
              </w:rPr>
              <w:t>ritically analyze contemporary debates around immigration</w:t>
            </w:r>
            <w:r>
              <w:rPr>
                <w:bCs/>
                <w:sz w:val="22"/>
                <w:szCs w:val="22"/>
                <w:lang w:val="en-US"/>
              </w:rPr>
              <w:t xml:space="preserve"> and </w:t>
            </w:r>
            <w:r w:rsidR="00AD408A" w:rsidRPr="00CA4544">
              <w:rPr>
                <w:bCs/>
                <w:sz w:val="22"/>
                <w:szCs w:val="22"/>
                <w:lang w:val="en-US"/>
              </w:rPr>
              <w:t xml:space="preserve">migration </w:t>
            </w:r>
            <w:r w:rsidR="00CA4544" w:rsidRPr="00CA4544">
              <w:rPr>
                <w:bCs/>
                <w:sz w:val="22"/>
                <w:szCs w:val="22"/>
                <w:lang w:val="en-US"/>
              </w:rPr>
              <w:t xml:space="preserve">processes </w:t>
            </w:r>
          </w:p>
        </w:tc>
      </w:tr>
      <w:tr w:rsidR="00CA4544" w:rsidRPr="00513D37" w14:paraId="21E8D236" w14:textId="77777777" w:rsidTr="59EA390A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5D041EED" w14:textId="25BBFB6A" w:rsidR="00CA4544" w:rsidRPr="00CA4544" w:rsidRDefault="00CA4544" w:rsidP="0081770D">
            <w:pPr>
              <w:jc w:val="center"/>
              <w:rPr>
                <w:sz w:val="22"/>
                <w:szCs w:val="22"/>
              </w:rPr>
            </w:pPr>
            <w:r w:rsidRPr="00CA4544">
              <w:rPr>
                <w:sz w:val="22"/>
                <w:szCs w:val="22"/>
              </w:rPr>
              <w:t>04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02235E64" w14:textId="215B1E03" w:rsidR="00CA4544" w:rsidRPr="00CA4544" w:rsidRDefault="00936AAA" w:rsidP="00AD408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CA4544" w:rsidRPr="00CA4544">
              <w:rPr>
                <w:sz w:val="22"/>
                <w:szCs w:val="22"/>
                <w:lang w:val="en-US"/>
              </w:rPr>
              <w:t xml:space="preserve">o </w:t>
            </w:r>
            <w:r w:rsidR="00CA4544" w:rsidRPr="00086A62">
              <w:rPr>
                <w:sz w:val="22"/>
                <w:szCs w:val="22"/>
                <w:lang w:val="en-US"/>
              </w:rPr>
              <w:t>apply the learned concepts on the current developments in the field of migration;</w:t>
            </w:r>
          </w:p>
        </w:tc>
      </w:tr>
      <w:tr w:rsidR="008A56D4" w:rsidRPr="00513D37" w14:paraId="4A99A79D" w14:textId="77777777" w:rsidTr="59EA390A">
        <w:trPr>
          <w:gridAfter w:val="1"/>
          <w:wAfter w:w="9" w:type="dxa"/>
          <w:trHeight w:val="216"/>
        </w:trPr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7D66168E" w14:textId="60ADE850" w:rsidR="008A56D4" w:rsidRPr="00CA4544" w:rsidRDefault="00CA4544" w:rsidP="0081770D">
            <w:pPr>
              <w:jc w:val="center"/>
              <w:rPr>
                <w:sz w:val="22"/>
                <w:szCs w:val="22"/>
              </w:rPr>
            </w:pPr>
            <w:r w:rsidRPr="00CA4544">
              <w:rPr>
                <w:sz w:val="22"/>
                <w:szCs w:val="22"/>
              </w:rPr>
              <w:t>05</w:t>
            </w:r>
          </w:p>
        </w:tc>
        <w:tc>
          <w:tcPr>
            <w:tcW w:w="9184" w:type="dxa"/>
            <w:gridSpan w:val="8"/>
            <w:shd w:val="clear" w:color="auto" w:fill="EAF1DD" w:themeFill="accent3" w:themeFillTint="33"/>
            <w:vAlign w:val="center"/>
          </w:tcPr>
          <w:p w14:paraId="507C4616" w14:textId="35F50000" w:rsidR="008A56D4" w:rsidRPr="00CA4544" w:rsidRDefault="00936AAA" w:rsidP="00086A62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use</w:t>
            </w:r>
            <w:r w:rsidR="00CA4544" w:rsidRPr="00CA4544">
              <w:rPr>
                <w:sz w:val="22"/>
                <w:szCs w:val="22"/>
                <w:lang w:val="en-US"/>
              </w:rPr>
              <w:t xml:space="preserve"> interdisciplinary (legal, political, sociological) understanding of migration processes.</w:t>
            </w:r>
          </w:p>
        </w:tc>
      </w:tr>
      <w:tr w:rsidR="008A56D4" w:rsidRPr="004601FD" w14:paraId="3CFA0EBB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1BF2642F" w14:textId="57B63CBD" w:rsidR="008A56D4" w:rsidRPr="004601FD" w:rsidRDefault="00843747" w:rsidP="0081770D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3</w:t>
            </w:r>
            <w:r w:rsidR="008A56D4" w:rsidRPr="004601FD">
              <w:rPr>
                <w:b/>
                <w:color w:val="FFFFFF"/>
                <w:lang w:val="en-US"/>
              </w:rPr>
              <w:t>. Syllabus:</w:t>
            </w:r>
          </w:p>
        </w:tc>
      </w:tr>
      <w:tr w:rsidR="008A56D4" w:rsidRPr="00513D37" w14:paraId="72F8392E" w14:textId="77777777" w:rsidTr="59EA390A">
        <w:trPr>
          <w:trHeight w:val="799"/>
        </w:trPr>
        <w:tc>
          <w:tcPr>
            <w:tcW w:w="562" w:type="dxa"/>
            <w:vAlign w:val="center"/>
          </w:tcPr>
          <w:p w14:paraId="6013E37D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 w:rsidRPr="00513D37">
              <w:rPr>
                <w:lang w:val="en-US"/>
              </w:rPr>
              <w:t>No</w:t>
            </w:r>
          </w:p>
        </w:tc>
        <w:tc>
          <w:tcPr>
            <w:tcW w:w="7228" w:type="dxa"/>
            <w:gridSpan w:val="7"/>
            <w:vAlign w:val="center"/>
          </w:tcPr>
          <w:p w14:paraId="760B1E27" w14:textId="77777777" w:rsidR="008A56D4" w:rsidRPr="00513D37" w:rsidRDefault="008A56D4" w:rsidP="0081770D">
            <w:pPr>
              <w:rPr>
                <w:lang w:val="en-US"/>
              </w:rPr>
            </w:pPr>
            <w:r w:rsidRPr="00513D37">
              <w:rPr>
                <w:lang w:val="en-US"/>
              </w:rPr>
              <w:t>Content</w:t>
            </w:r>
          </w:p>
        </w:tc>
        <w:tc>
          <w:tcPr>
            <w:tcW w:w="1263" w:type="dxa"/>
            <w:vAlign w:val="center"/>
          </w:tcPr>
          <w:p w14:paraId="2390C604" w14:textId="30420B37" w:rsidR="008A56D4" w:rsidRPr="00513D37" w:rsidRDefault="008A56D4" w:rsidP="0081770D">
            <w:pPr>
              <w:jc w:val="center"/>
              <w:rPr>
                <w:lang w:val="en-US"/>
              </w:rPr>
            </w:pPr>
            <w:r w:rsidRPr="00513D37">
              <w:rPr>
                <w:lang w:val="en-US"/>
              </w:rPr>
              <w:t xml:space="preserve">Outcome </w:t>
            </w:r>
          </w:p>
        </w:tc>
        <w:tc>
          <w:tcPr>
            <w:tcW w:w="1274" w:type="dxa"/>
            <w:gridSpan w:val="2"/>
            <w:vAlign w:val="center"/>
          </w:tcPr>
          <w:p w14:paraId="0409471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513D37">
              <w:rPr>
                <w:lang w:val="en-US"/>
              </w:rPr>
              <w:t>umber of hours</w:t>
            </w:r>
          </w:p>
        </w:tc>
      </w:tr>
      <w:tr w:rsidR="008A56D4" w:rsidRPr="00513D37" w14:paraId="3CB4D288" w14:textId="77777777" w:rsidTr="59EA390A">
        <w:tc>
          <w:tcPr>
            <w:tcW w:w="562" w:type="dxa"/>
            <w:shd w:val="clear" w:color="auto" w:fill="EAF1DD" w:themeFill="accent3" w:themeFillTint="33"/>
            <w:vAlign w:val="center"/>
          </w:tcPr>
          <w:p w14:paraId="37B68A07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70DA132B" w14:textId="4817C0DA" w:rsidR="008A56D4" w:rsidRPr="00513D37" w:rsidRDefault="008A56D4" w:rsidP="0081770D">
            <w:pPr>
              <w:rPr>
                <w:lang w:val="en-US"/>
              </w:rPr>
            </w:pPr>
            <w:r>
              <w:rPr>
                <w:lang w:val="en-US"/>
              </w:rPr>
              <w:t>Topic 1:</w:t>
            </w:r>
            <w:r w:rsidR="00142127">
              <w:rPr>
                <w:lang w:val="en-US"/>
              </w:rPr>
              <w:t xml:space="preserve"> Sociological approaches to study migration 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791E56A6" w14:textId="37E3AC2F" w:rsidR="008A56D4" w:rsidRPr="008A76AE" w:rsidRDefault="008A56D4" w:rsidP="0081770D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BEF0C3A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8A56D4" w:rsidRPr="00513D37" w14:paraId="07662A0E" w14:textId="77777777" w:rsidTr="59EA390A">
        <w:tc>
          <w:tcPr>
            <w:tcW w:w="562" w:type="dxa"/>
            <w:shd w:val="clear" w:color="auto" w:fill="EAF1DD" w:themeFill="accent3" w:themeFillTint="33"/>
            <w:vAlign w:val="center"/>
          </w:tcPr>
          <w:p w14:paraId="7FFD6D7D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385E5C8E" w14:textId="1DEF50A3" w:rsidR="008A56D4" w:rsidRPr="00513D37" w:rsidRDefault="008A56D4" w:rsidP="0081770D">
            <w:pPr>
              <w:rPr>
                <w:lang w:val="en-US"/>
              </w:rPr>
            </w:pPr>
            <w:r>
              <w:rPr>
                <w:lang w:val="en-US"/>
              </w:rPr>
              <w:t xml:space="preserve">Topic 2: </w:t>
            </w:r>
            <w:r w:rsidR="00142127">
              <w:rPr>
                <w:lang w:val="en-US"/>
              </w:rPr>
              <w:t xml:space="preserve">Explaining migration sociologically 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17118F14" w14:textId="34515BF8" w:rsidR="008A56D4" w:rsidRPr="00F93D44" w:rsidRDefault="008A56D4" w:rsidP="0081770D">
            <w:pPr>
              <w:jc w:val="center"/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7AA9D6D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8A56D4" w:rsidRPr="00513D37" w14:paraId="3624B08C" w14:textId="77777777" w:rsidTr="59EA390A">
        <w:tc>
          <w:tcPr>
            <w:tcW w:w="562" w:type="dxa"/>
            <w:shd w:val="clear" w:color="auto" w:fill="EAF1DD" w:themeFill="accent3" w:themeFillTint="33"/>
            <w:vAlign w:val="center"/>
          </w:tcPr>
          <w:p w14:paraId="75680B30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338221CE" w14:textId="4B18CB72" w:rsidR="008A56D4" w:rsidRPr="00513D37" w:rsidRDefault="008A56D4" w:rsidP="0081770D">
            <w:pPr>
              <w:rPr>
                <w:lang w:val="en-US"/>
              </w:rPr>
            </w:pPr>
            <w:r>
              <w:rPr>
                <w:lang w:val="en-US"/>
              </w:rPr>
              <w:t xml:space="preserve">Topic 3: </w:t>
            </w:r>
            <w:r w:rsidR="00142127">
              <w:rPr>
                <w:lang w:val="en-US"/>
              </w:rPr>
              <w:t xml:space="preserve">Terminology and types of migration 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2257AEEF" w14:textId="6EAC42C9" w:rsidR="008A56D4" w:rsidRPr="002468F9" w:rsidRDefault="008A56D4" w:rsidP="0081770D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8DECB29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8A56D4" w:rsidRPr="00513D37" w14:paraId="642FAC84" w14:textId="77777777" w:rsidTr="59EA390A">
        <w:tc>
          <w:tcPr>
            <w:tcW w:w="562" w:type="dxa"/>
            <w:shd w:val="clear" w:color="auto" w:fill="EAF1DD" w:themeFill="accent3" w:themeFillTint="33"/>
            <w:vAlign w:val="center"/>
          </w:tcPr>
          <w:p w14:paraId="3895BDBB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639C84BA" w14:textId="048E823D" w:rsidR="008A56D4" w:rsidRPr="00513D37" w:rsidRDefault="008A56D4" w:rsidP="0081770D">
            <w:pPr>
              <w:rPr>
                <w:lang w:val="en-US"/>
              </w:rPr>
            </w:pPr>
            <w:r>
              <w:rPr>
                <w:lang w:val="en-US"/>
              </w:rPr>
              <w:t xml:space="preserve">Topic 4: </w:t>
            </w:r>
            <w:r w:rsidR="00142127">
              <w:rPr>
                <w:lang w:val="en-US"/>
              </w:rPr>
              <w:t>Immigrant integration and identity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069CAC97" w14:textId="618B0D88" w:rsidR="008A56D4" w:rsidRPr="00CE4C72" w:rsidRDefault="008A56D4" w:rsidP="0081770D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4395C83D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8A56D4" w:rsidRPr="00513D37" w14:paraId="0A216B68" w14:textId="77777777" w:rsidTr="59EA390A">
        <w:tc>
          <w:tcPr>
            <w:tcW w:w="562" w:type="dxa"/>
            <w:shd w:val="clear" w:color="auto" w:fill="EAF1DD" w:themeFill="accent3" w:themeFillTint="33"/>
            <w:vAlign w:val="center"/>
          </w:tcPr>
          <w:p w14:paraId="13FA346C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00B9DF5E" w14:textId="0F85DC49" w:rsidR="008A56D4" w:rsidRPr="00513D37" w:rsidRDefault="008A56D4" w:rsidP="0081770D">
            <w:pPr>
              <w:rPr>
                <w:lang w:val="en-US"/>
              </w:rPr>
            </w:pPr>
            <w:r>
              <w:rPr>
                <w:lang w:val="en-US"/>
              </w:rPr>
              <w:t xml:space="preserve">Topic 5: </w:t>
            </w:r>
            <w:r w:rsidR="00142127">
              <w:rPr>
                <w:lang w:val="en-US"/>
              </w:rPr>
              <w:t>(Post)national citizenship and migrants’ rights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75BABB3D" w14:textId="2E9305A1" w:rsidR="008A56D4" w:rsidRPr="005667F6" w:rsidRDefault="008A56D4" w:rsidP="0081770D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17AE05CE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8A56D4" w:rsidRPr="00513D37" w14:paraId="1EB7DFF7" w14:textId="77777777" w:rsidTr="59EA390A">
        <w:tc>
          <w:tcPr>
            <w:tcW w:w="562" w:type="dxa"/>
            <w:shd w:val="clear" w:color="auto" w:fill="EAF1DD" w:themeFill="accent3" w:themeFillTint="33"/>
            <w:vAlign w:val="center"/>
          </w:tcPr>
          <w:p w14:paraId="3F2237C4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228" w:type="dxa"/>
            <w:gridSpan w:val="7"/>
            <w:shd w:val="clear" w:color="auto" w:fill="EAF1DD" w:themeFill="accent3" w:themeFillTint="33"/>
            <w:vAlign w:val="center"/>
          </w:tcPr>
          <w:p w14:paraId="1EC242E1" w14:textId="27D43BB5" w:rsidR="008A56D4" w:rsidRDefault="008A56D4" w:rsidP="0081770D">
            <w:pPr>
              <w:rPr>
                <w:lang w:val="en-US"/>
              </w:rPr>
            </w:pPr>
            <w:r>
              <w:rPr>
                <w:lang w:val="en-US"/>
              </w:rPr>
              <w:t xml:space="preserve">Topic 6: </w:t>
            </w:r>
            <w:r w:rsidR="00142127">
              <w:rPr>
                <w:lang w:val="en-US"/>
              </w:rPr>
              <w:t>Nationalism and xenophobia</w:t>
            </w:r>
          </w:p>
        </w:tc>
        <w:tc>
          <w:tcPr>
            <w:tcW w:w="1263" w:type="dxa"/>
            <w:shd w:val="clear" w:color="auto" w:fill="EAF1DD" w:themeFill="accent3" w:themeFillTint="33"/>
            <w:vAlign w:val="center"/>
          </w:tcPr>
          <w:p w14:paraId="1D8C8210" w14:textId="594BC88E" w:rsidR="008A56D4" w:rsidRDefault="008A56D4" w:rsidP="0081770D">
            <w:pPr>
              <w:jc w:val="center"/>
              <w:rPr>
                <w:lang w:val="en-GB"/>
              </w:rPr>
            </w:pPr>
          </w:p>
        </w:tc>
        <w:tc>
          <w:tcPr>
            <w:tcW w:w="1274" w:type="dxa"/>
            <w:gridSpan w:val="2"/>
            <w:shd w:val="clear" w:color="auto" w:fill="EAF1DD" w:themeFill="accent3" w:themeFillTint="33"/>
            <w:vAlign w:val="center"/>
          </w:tcPr>
          <w:p w14:paraId="32666EDD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8A56D4" w:rsidRPr="00513D37" w14:paraId="76D6ABE6" w14:textId="77777777" w:rsidTr="59EA390A">
        <w:trPr>
          <w:trHeight w:val="316"/>
        </w:trPr>
        <w:tc>
          <w:tcPr>
            <w:tcW w:w="9053" w:type="dxa"/>
            <w:gridSpan w:val="9"/>
            <w:shd w:val="clear" w:color="auto" w:fill="DDDDDD"/>
            <w:vAlign w:val="center"/>
          </w:tcPr>
          <w:p w14:paraId="0F17CBBE" w14:textId="77777777" w:rsidR="008A56D4" w:rsidRPr="00395379" w:rsidRDefault="008A56D4" w:rsidP="0081770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  <w:r w:rsidRPr="0039537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DDDDDD"/>
            <w:vAlign w:val="center"/>
          </w:tcPr>
          <w:p w14:paraId="1EEFF6AA" w14:textId="4B59CBF9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hours</w:t>
            </w:r>
          </w:p>
        </w:tc>
      </w:tr>
      <w:tr w:rsidR="008A56D4" w:rsidRPr="004601FD" w14:paraId="66C38376" w14:textId="77777777" w:rsidTr="59EA390A"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48D9616" w14:textId="4229363B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4</w:t>
            </w:r>
            <w:r w:rsidR="008A56D4" w:rsidRPr="004601FD">
              <w:rPr>
                <w:color w:val="FFFFFF"/>
                <w:lang w:val="en-US"/>
              </w:rPr>
              <w:t xml:space="preserve">. Teaching methods: </w:t>
            </w:r>
          </w:p>
        </w:tc>
      </w:tr>
      <w:tr w:rsidR="008A56D4" w:rsidRPr="00B35D5E" w14:paraId="437CBF59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75972BEB" w14:textId="2BB599DD" w:rsidR="008A56D4" w:rsidRPr="00513D37" w:rsidRDefault="008A56D4" w:rsidP="008177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Online l</w:t>
            </w:r>
            <w:r w:rsidRPr="00513D37">
              <w:rPr>
                <w:lang w:val="en-US"/>
              </w:rPr>
              <w:t>ecture</w:t>
            </w:r>
            <w:r>
              <w:rPr>
                <w:lang w:val="en-US"/>
              </w:rPr>
              <w:t xml:space="preserve">s/tutorials, </w:t>
            </w:r>
            <w:r w:rsidRPr="00513D37">
              <w:rPr>
                <w:lang w:val="en-US"/>
              </w:rPr>
              <w:t>case studies</w:t>
            </w:r>
            <w:r>
              <w:rPr>
                <w:lang w:val="en-US"/>
              </w:rPr>
              <w:t xml:space="preserve"> analysis</w:t>
            </w:r>
            <w:r w:rsidRPr="00513D37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quizzes, forum </w:t>
            </w:r>
            <w:r w:rsidRPr="00513D37">
              <w:rPr>
                <w:lang w:val="en-US"/>
              </w:rPr>
              <w:t>discussion</w:t>
            </w:r>
            <w:r>
              <w:rPr>
                <w:lang w:val="en-US"/>
              </w:rPr>
              <w:t>s</w:t>
            </w:r>
            <w:r w:rsidRPr="00513D37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individual tasks, team-work</w:t>
            </w:r>
            <w:r w:rsidR="00142127">
              <w:rPr>
                <w:lang w:val="en-US"/>
              </w:rPr>
              <w:t xml:space="preserve"> and collaborative projects. </w:t>
            </w:r>
          </w:p>
        </w:tc>
      </w:tr>
      <w:tr w:rsidR="008A56D4" w:rsidRPr="00B35D5E" w14:paraId="6AAF330E" w14:textId="77777777" w:rsidTr="59EA390A">
        <w:trPr>
          <w:trHeight w:val="18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23C57F3E" w14:textId="55A2C924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5</w:t>
            </w:r>
            <w:r w:rsidR="008A56D4" w:rsidRPr="004601FD">
              <w:rPr>
                <w:color w:val="FFFFFF"/>
                <w:lang w:val="en-US"/>
              </w:rPr>
              <w:t>. Individual activity of a student:</w:t>
            </w:r>
          </w:p>
        </w:tc>
      </w:tr>
      <w:tr w:rsidR="008A56D4" w:rsidRPr="00B35D5E" w14:paraId="53FC2586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5E468F81" w14:textId="77777777" w:rsidR="008A56D4" w:rsidRPr="00787B81" w:rsidRDefault="008A56D4" w:rsidP="0081770D">
            <w:pPr>
              <w:rPr>
                <w:lang w:val="en-US"/>
              </w:rPr>
            </w:pPr>
            <w:r w:rsidRPr="00DA3B13">
              <w:rPr>
                <w:lang w:val="en-US"/>
              </w:rPr>
              <w:t xml:space="preserve">Studying lectures/tutorials materials, solving problems at the Moodle platform, finding examples of applications </w:t>
            </w:r>
            <w:r>
              <w:rPr>
                <w:lang w:val="en-US"/>
              </w:rPr>
              <w:t xml:space="preserve">in the </w:t>
            </w:r>
            <w:r w:rsidRPr="00DA3B13">
              <w:rPr>
                <w:lang w:val="en-US"/>
              </w:rPr>
              <w:t>Internet</w:t>
            </w:r>
            <w:r>
              <w:rPr>
                <w:lang w:val="en-US"/>
              </w:rPr>
              <w:t>, solving quizzes, analyzing case studies.</w:t>
            </w:r>
          </w:p>
        </w:tc>
      </w:tr>
      <w:tr w:rsidR="008A56D4" w:rsidRPr="004601FD" w14:paraId="0CFFFFA1" w14:textId="77777777" w:rsidTr="59EA390A">
        <w:trPr>
          <w:trHeight w:val="159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0B386178" w14:textId="09B1EF1B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6</w:t>
            </w:r>
            <w:r w:rsidR="008A56D4" w:rsidRPr="004601FD">
              <w:rPr>
                <w:color w:val="FFFFFF"/>
                <w:lang w:val="en-US"/>
              </w:rPr>
              <w:t>. Readings:</w:t>
            </w:r>
          </w:p>
        </w:tc>
      </w:tr>
      <w:tr w:rsidR="008A56D4" w:rsidRPr="00513D37" w14:paraId="4F3EACE0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765316A2" w14:textId="77777777" w:rsidR="00236476" w:rsidRDefault="00236476" w:rsidP="00236476">
            <w:pPr>
              <w:widowControl w:val="0"/>
              <w:numPr>
                <w:ilvl w:val="0"/>
                <w:numId w:val="5"/>
              </w:numPr>
              <w:suppressAutoHyphens/>
            </w:pPr>
            <w:r>
              <w:t>FitzGerald, D. S. The Sociology of International Migration. In: Brettell, C., &amp; Hollifield, J. F. (2000). Migration theory: Talking across disciplines. New York: Routledge, pp 115-147.</w:t>
            </w:r>
          </w:p>
          <w:p w14:paraId="6C9830E5" w14:textId="77777777" w:rsidR="00236476" w:rsidRDefault="00236476" w:rsidP="00236476">
            <w:pPr>
              <w:widowControl w:val="0"/>
              <w:numPr>
                <w:ilvl w:val="0"/>
                <w:numId w:val="5"/>
              </w:numPr>
              <w:suppressAutoHyphens/>
            </w:pPr>
            <w:r>
              <w:t xml:space="preserve">Massey, D. S., Vila-Belda, J. A., Hugo, G., Kouaouci, A., &amp; Pellegrino, A. (2006). Theories of international migration: A review and appraisal. In The migration reader: Exploring politics and policies (pp. 34-62). Lynne Rienner Publishers. </w:t>
            </w:r>
          </w:p>
          <w:p w14:paraId="2598BEB3" w14:textId="77777777" w:rsidR="00236476" w:rsidRDefault="00236476" w:rsidP="00236476">
            <w:pPr>
              <w:widowControl w:val="0"/>
              <w:numPr>
                <w:ilvl w:val="0"/>
                <w:numId w:val="5"/>
              </w:numPr>
              <w:suppressAutoHyphens/>
            </w:pPr>
            <w:r>
              <w:t>Castles, S., Miller, M. J., &amp; Haas, H. (2014). The age of migration. New York, N.Y: Guilford, 25–55.</w:t>
            </w:r>
          </w:p>
          <w:p w14:paraId="65462678" w14:textId="6FD89617" w:rsidR="00627BB1" w:rsidRPr="006D3110" w:rsidRDefault="00236476" w:rsidP="00236476">
            <w:pPr>
              <w:widowControl w:val="0"/>
              <w:numPr>
                <w:ilvl w:val="0"/>
                <w:numId w:val="5"/>
              </w:numPr>
              <w:suppressAutoHyphens/>
              <w:rPr>
                <w:lang w:val="en-GB"/>
              </w:rPr>
            </w:pPr>
            <w:r>
              <w:t>Tubergen, F. (2006): Immigrant Integration: a cross national study. LFB Scholarly Publishing LLC. New York, pp 7–41.</w:t>
            </w:r>
          </w:p>
        </w:tc>
      </w:tr>
      <w:tr w:rsidR="008A56D4" w:rsidRPr="004601FD" w14:paraId="2E24F040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327ADAB4" w14:textId="373331C1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7</w:t>
            </w:r>
            <w:r w:rsidR="008A56D4" w:rsidRPr="004601FD">
              <w:rPr>
                <w:color w:val="FFFFFF"/>
                <w:lang w:val="en-US"/>
              </w:rPr>
              <w:t xml:space="preserve">. Supplementary readings </w:t>
            </w:r>
            <w:r w:rsidR="008A56D4" w:rsidRPr="004601FD">
              <w:rPr>
                <w:bCs/>
                <w:color w:val="FFFFFF"/>
                <w:lang w:val="en-US"/>
              </w:rPr>
              <w:t>and websites</w:t>
            </w:r>
            <w:r w:rsidR="008A56D4" w:rsidRPr="004601FD">
              <w:rPr>
                <w:color w:val="FFFFFF"/>
                <w:lang w:val="en-US"/>
              </w:rPr>
              <w:t>:</w:t>
            </w:r>
          </w:p>
        </w:tc>
      </w:tr>
      <w:tr w:rsidR="008A56D4" w:rsidRPr="00513D37" w14:paraId="2125B4FB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08E83E16" w14:textId="77777777" w:rsidR="00236476" w:rsidRPr="00236476" w:rsidRDefault="00236476" w:rsidP="00236476">
            <w:pPr>
              <w:widowControl w:val="0"/>
              <w:numPr>
                <w:ilvl w:val="0"/>
                <w:numId w:val="6"/>
              </w:numPr>
              <w:suppressAutoHyphens/>
              <w:rPr>
                <w:lang w:val="en-US"/>
              </w:rPr>
            </w:pPr>
            <w:r w:rsidRPr="00236476">
              <w:rPr>
                <w:lang w:val="en-US"/>
              </w:rPr>
              <w:t xml:space="preserve">Gold, S. J., &amp; </w:t>
            </w:r>
            <w:proofErr w:type="spellStart"/>
            <w:r w:rsidRPr="00236476">
              <w:rPr>
                <w:lang w:val="en-US"/>
              </w:rPr>
              <w:t>Nawyn</w:t>
            </w:r>
            <w:proofErr w:type="spellEnd"/>
            <w:r w:rsidRPr="00236476">
              <w:rPr>
                <w:lang w:val="en-US"/>
              </w:rPr>
              <w:t>, S. J. (2012). Routledge international handbook of migration studies. London: Routledge.</w:t>
            </w:r>
          </w:p>
          <w:p w14:paraId="50A280D2" w14:textId="77777777" w:rsidR="00236476" w:rsidRPr="00236476" w:rsidRDefault="00236476" w:rsidP="00236476">
            <w:pPr>
              <w:widowControl w:val="0"/>
              <w:numPr>
                <w:ilvl w:val="0"/>
                <w:numId w:val="6"/>
              </w:numPr>
              <w:suppressAutoHyphens/>
              <w:rPr>
                <w:lang w:val="en-US"/>
              </w:rPr>
            </w:pPr>
            <w:proofErr w:type="spellStart"/>
            <w:r w:rsidRPr="00236476">
              <w:rPr>
                <w:lang w:val="en-US"/>
              </w:rPr>
              <w:t>Bosniak</w:t>
            </w:r>
            <w:proofErr w:type="spellEnd"/>
            <w:r w:rsidRPr="00236476">
              <w:rPr>
                <w:lang w:val="en-US"/>
              </w:rPr>
              <w:t>, L. (2006). The citizen and the alien: Dilemmas of contemporary membership. Princeton, NJ: Princeton Univ. Press.</w:t>
            </w:r>
          </w:p>
          <w:p w14:paraId="0534E64A" w14:textId="77777777" w:rsidR="00236476" w:rsidRPr="00236476" w:rsidRDefault="00236476" w:rsidP="00236476">
            <w:pPr>
              <w:widowControl w:val="0"/>
              <w:numPr>
                <w:ilvl w:val="0"/>
                <w:numId w:val="6"/>
              </w:numPr>
              <w:suppressAutoHyphens/>
              <w:rPr>
                <w:lang w:val="en-US"/>
              </w:rPr>
            </w:pPr>
            <w:proofErr w:type="spellStart"/>
            <w:r w:rsidRPr="00236476">
              <w:rPr>
                <w:lang w:val="en-US"/>
              </w:rPr>
              <w:t>Gündoğdu</w:t>
            </w:r>
            <w:proofErr w:type="spellEnd"/>
            <w:r w:rsidRPr="00236476">
              <w:rPr>
                <w:lang w:val="en-US"/>
              </w:rPr>
              <w:t>, A. (2015). Rightlessness in an Age of Rights: Hannah Arendt and the Contemporary Struggles of Migrants. Oxford: oxford University Press.</w:t>
            </w:r>
          </w:p>
          <w:p w14:paraId="59734ADF" w14:textId="77777777" w:rsidR="00236476" w:rsidRPr="00236476" w:rsidRDefault="00236476" w:rsidP="00236476">
            <w:pPr>
              <w:widowControl w:val="0"/>
              <w:numPr>
                <w:ilvl w:val="0"/>
                <w:numId w:val="6"/>
              </w:numPr>
              <w:suppressAutoHyphens/>
              <w:rPr>
                <w:lang w:val="en-US"/>
              </w:rPr>
            </w:pPr>
            <w:proofErr w:type="spellStart"/>
            <w:r w:rsidRPr="00236476">
              <w:rPr>
                <w:lang w:val="en-US"/>
              </w:rPr>
              <w:t>Kesby</w:t>
            </w:r>
            <w:proofErr w:type="spellEnd"/>
            <w:r w:rsidRPr="00236476">
              <w:rPr>
                <w:lang w:val="en-US"/>
              </w:rPr>
              <w:t xml:space="preserve">, A. (2012). The Right to Have Right: Citizenship, Humanity, and International Law. Oxford: Oxford University Press. </w:t>
            </w:r>
          </w:p>
          <w:p w14:paraId="56C365D0" w14:textId="370C2A60" w:rsidR="008A56D4" w:rsidRPr="006D3110" w:rsidRDefault="00236476" w:rsidP="00236476">
            <w:pPr>
              <w:widowControl w:val="0"/>
              <w:numPr>
                <w:ilvl w:val="0"/>
                <w:numId w:val="6"/>
              </w:numPr>
              <w:suppressAutoHyphens/>
              <w:rPr>
                <w:lang w:val="en-US"/>
              </w:rPr>
            </w:pPr>
            <w:proofErr w:type="spellStart"/>
            <w:r w:rsidRPr="00236476">
              <w:rPr>
                <w:lang w:val="en-US"/>
              </w:rPr>
              <w:t>Soysal</w:t>
            </w:r>
            <w:proofErr w:type="spellEnd"/>
            <w:r w:rsidRPr="00236476">
              <w:rPr>
                <w:lang w:val="en-US"/>
              </w:rPr>
              <w:t xml:space="preserve">, Y. N. (1994). Limits of Citizenship: Migrants and </w:t>
            </w:r>
            <w:proofErr w:type="spellStart"/>
            <w:r w:rsidRPr="00236476">
              <w:rPr>
                <w:lang w:val="en-US"/>
              </w:rPr>
              <w:t>Postnational</w:t>
            </w:r>
            <w:proofErr w:type="spellEnd"/>
            <w:r w:rsidRPr="00236476">
              <w:rPr>
                <w:lang w:val="en-US"/>
              </w:rPr>
              <w:t xml:space="preserve"> Membership in Europe. Chicago in London: The University of Chicago.</w:t>
            </w:r>
          </w:p>
        </w:tc>
      </w:tr>
      <w:tr w:rsidR="008A56D4" w:rsidRPr="00B35D5E" w14:paraId="1EB9F2D3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3E9CC18C" w14:textId="5BB8A64E" w:rsidR="008A56D4" w:rsidRPr="004601FD" w:rsidRDefault="00843747" w:rsidP="0081770D">
            <w:pPr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8</w:t>
            </w:r>
            <w:r w:rsidR="008A56D4" w:rsidRPr="004601FD">
              <w:rPr>
                <w:color w:val="FFFFFF"/>
                <w:lang w:val="en-US"/>
              </w:rPr>
              <w:t>. Assessment requirements and grading system:</w:t>
            </w:r>
          </w:p>
        </w:tc>
      </w:tr>
      <w:tr w:rsidR="008A56D4" w:rsidRPr="00513D37" w14:paraId="39E01D26" w14:textId="77777777" w:rsidTr="59EA390A">
        <w:trPr>
          <w:trHeight w:val="567"/>
        </w:trPr>
        <w:tc>
          <w:tcPr>
            <w:tcW w:w="10327" w:type="dxa"/>
            <w:gridSpan w:val="11"/>
            <w:shd w:val="clear" w:color="auto" w:fill="EAF1DD" w:themeFill="accent3" w:themeFillTint="33"/>
            <w:vAlign w:val="center"/>
          </w:tcPr>
          <w:p w14:paraId="5EA54FC2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  <w:p w14:paraId="06F1ADC8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>
              <w:rPr>
                <w:lang w:val="en-US"/>
              </w:rPr>
              <w:t xml:space="preserve">The following elements constitute </w:t>
            </w:r>
            <w:r w:rsidRPr="00395379">
              <w:rPr>
                <w:b/>
                <w:lang w:val="en-US"/>
              </w:rPr>
              <w:t>total score (100 points)</w:t>
            </w:r>
            <w:r>
              <w:rPr>
                <w:lang w:val="en-US"/>
              </w:rPr>
              <w:t>:</w:t>
            </w:r>
          </w:p>
          <w:p w14:paraId="7F779053" w14:textId="256E88A3" w:rsidR="00505FCF" w:rsidRPr="00900813" w:rsidRDefault="00505FCF" w:rsidP="00505FCF">
            <w:pPr>
              <w:pStyle w:val="FootnoteTex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900813">
              <w:rPr>
                <w:rFonts w:ascii="Arial" w:hAnsi="Arial" w:cs="Arial"/>
                <w:lang w:val="en-US"/>
              </w:rPr>
              <w:t>quizzes total:</w:t>
            </w:r>
            <w:r w:rsidRPr="00900813">
              <w:rPr>
                <w:rFonts w:ascii="Arial" w:hAnsi="Arial" w:cs="Arial"/>
              </w:rPr>
              <w:t xml:space="preserve"> </w:t>
            </w:r>
            <w:r w:rsidR="00B4292B">
              <w:rPr>
                <w:rFonts w:ascii="Arial" w:hAnsi="Arial" w:cs="Arial"/>
              </w:rPr>
              <w:t>30</w:t>
            </w:r>
            <w:r w:rsidRPr="00900813">
              <w:rPr>
                <w:rFonts w:ascii="Arial" w:hAnsi="Arial" w:cs="Arial"/>
              </w:rPr>
              <w:t xml:space="preserve"> points</w:t>
            </w:r>
          </w:p>
          <w:p w14:paraId="28E8CE71" w14:textId="357762AF" w:rsidR="00505FCF" w:rsidRPr="00900813" w:rsidRDefault="00505FCF" w:rsidP="00505FCF">
            <w:pPr>
              <w:pStyle w:val="FootnoteTex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discussion</w:t>
            </w:r>
            <w:r w:rsidRPr="00900813">
              <w:rPr>
                <w:rFonts w:ascii="Arial" w:hAnsi="Arial" w:cs="Arial"/>
                <w:lang w:val="en-US"/>
              </w:rPr>
              <w:t xml:space="preserve">: </w:t>
            </w:r>
            <w:r w:rsidR="00B4292B">
              <w:rPr>
                <w:rFonts w:ascii="Arial" w:hAnsi="Arial" w:cs="Arial"/>
                <w:lang w:val="en-US"/>
              </w:rPr>
              <w:t>30</w:t>
            </w:r>
            <w:r w:rsidRPr="00900813">
              <w:rPr>
                <w:rFonts w:ascii="Arial" w:hAnsi="Arial" w:cs="Arial"/>
                <w:lang w:val="en-US"/>
              </w:rPr>
              <w:t xml:space="preserve"> points</w:t>
            </w:r>
          </w:p>
          <w:p w14:paraId="113466A4" w14:textId="77777777" w:rsidR="00505FCF" w:rsidRPr="00900813" w:rsidRDefault="00505FCF" w:rsidP="00505FCF">
            <w:pPr>
              <w:pStyle w:val="FootnoteText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900813">
              <w:rPr>
                <w:rFonts w:ascii="Arial" w:hAnsi="Arial" w:cs="Arial"/>
                <w:lang w:val="en-US"/>
              </w:rPr>
              <w:t>group project:</w:t>
            </w:r>
            <w:r w:rsidRPr="0090081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4</w:t>
            </w:r>
            <w:r w:rsidRPr="00900813">
              <w:rPr>
                <w:rFonts w:ascii="Arial" w:hAnsi="Arial" w:cs="Arial"/>
                <w:lang w:val="en-GB"/>
              </w:rPr>
              <w:t>0 points</w:t>
            </w:r>
          </w:p>
          <w:p w14:paraId="2CEA2C27" w14:textId="77777777" w:rsidR="008A56D4" w:rsidRDefault="008A56D4" w:rsidP="0081770D">
            <w:pPr>
              <w:pStyle w:val="FootnoteText"/>
              <w:rPr>
                <w:lang w:val="en-US"/>
              </w:rPr>
            </w:pPr>
          </w:p>
          <w:p w14:paraId="2EAC8E3D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 w:rsidRPr="0080617E">
              <w:rPr>
                <w:lang w:val="en-US"/>
              </w:rPr>
              <w:t xml:space="preserve">Grading system </w:t>
            </w:r>
          </w:p>
          <w:p w14:paraId="2CD98B3C" w14:textId="77777777" w:rsidR="008A56D4" w:rsidRDefault="008A56D4" w:rsidP="0081770D">
            <w:pPr>
              <w:tabs>
                <w:tab w:val="left" w:pos="720"/>
              </w:tabs>
              <w:snapToGrid w:val="0"/>
              <w:ind w:left="113"/>
              <w:rPr>
                <w:lang w:val="en-US"/>
              </w:rPr>
            </w:pPr>
            <w:r>
              <w:rPr>
                <w:lang w:val="en-US"/>
              </w:rPr>
              <w:t xml:space="preserve">         Points           Grade</w:t>
            </w:r>
          </w:p>
          <w:tbl>
            <w:tblPr>
              <w:tblW w:w="5792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06"/>
              <w:gridCol w:w="567"/>
              <w:gridCol w:w="4394"/>
            </w:tblGrid>
            <w:tr w:rsidR="008A56D4" w:rsidRPr="002853AF" w14:paraId="2CBD64F4" w14:textId="77777777" w:rsidTr="0081770D">
              <w:tc>
                <w:tcPr>
                  <w:tcW w:w="525" w:type="dxa"/>
                  <w:shd w:val="clear" w:color="auto" w:fill="auto"/>
                </w:tcPr>
                <w:p w14:paraId="30BF44C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34BF5BAB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C2C77E1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49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40FFB487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Fail (2)</w:t>
                  </w:r>
                </w:p>
              </w:tc>
            </w:tr>
            <w:tr w:rsidR="008A56D4" w:rsidRPr="002853AF" w14:paraId="2D2BBB03" w14:textId="77777777" w:rsidTr="0081770D">
              <w:tc>
                <w:tcPr>
                  <w:tcW w:w="525" w:type="dxa"/>
                  <w:shd w:val="clear" w:color="auto" w:fill="auto"/>
                </w:tcPr>
                <w:p w14:paraId="78D6AA2C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50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5E4B4967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94BD228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59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CCA04E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Satisfactory (3)</w:t>
                  </w:r>
                </w:p>
              </w:tc>
            </w:tr>
            <w:tr w:rsidR="008A56D4" w:rsidRPr="00B35D5E" w14:paraId="77700F1D" w14:textId="77777777" w:rsidTr="0081770D">
              <w:tc>
                <w:tcPr>
                  <w:tcW w:w="525" w:type="dxa"/>
                  <w:shd w:val="clear" w:color="auto" w:fill="auto"/>
                </w:tcPr>
                <w:p w14:paraId="01B21D70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60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291FFFC5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BA3F73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69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0EBB9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More than satisfactory but less than good  (3+)</w:t>
                  </w:r>
                </w:p>
              </w:tc>
            </w:tr>
            <w:tr w:rsidR="008A56D4" w:rsidRPr="002853AF" w14:paraId="7AD26962" w14:textId="77777777" w:rsidTr="0081770D">
              <w:tc>
                <w:tcPr>
                  <w:tcW w:w="525" w:type="dxa"/>
                  <w:shd w:val="clear" w:color="auto" w:fill="auto"/>
                </w:tcPr>
                <w:p w14:paraId="2100D5EE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70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381BD1D2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E4D2E46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79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11F4E3C3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Good  (4)</w:t>
                  </w:r>
                </w:p>
              </w:tc>
            </w:tr>
            <w:tr w:rsidR="008A56D4" w:rsidRPr="002853AF" w14:paraId="7F0D4881" w14:textId="77777777" w:rsidTr="0081770D">
              <w:tc>
                <w:tcPr>
                  <w:tcW w:w="525" w:type="dxa"/>
                  <w:shd w:val="clear" w:color="auto" w:fill="auto"/>
                </w:tcPr>
                <w:p w14:paraId="7521C19F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2B0DD5B1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4CCBB48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89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DDA697A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Very good (4+)</w:t>
                  </w:r>
                </w:p>
              </w:tc>
            </w:tr>
            <w:tr w:rsidR="008A56D4" w:rsidRPr="002853AF" w14:paraId="1AF7A65B" w14:textId="77777777" w:rsidTr="0081770D">
              <w:tc>
                <w:tcPr>
                  <w:tcW w:w="525" w:type="dxa"/>
                  <w:shd w:val="clear" w:color="auto" w:fill="auto"/>
                </w:tcPr>
                <w:p w14:paraId="3BA37F3D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14:paraId="0A55231A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304B0C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100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ABC0ACF" w14:textId="77777777" w:rsidR="008A56D4" w:rsidRPr="002853AF" w:rsidRDefault="008A56D4" w:rsidP="0081770D">
                  <w:pPr>
                    <w:tabs>
                      <w:tab w:val="left" w:pos="720"/>
                    </w:tabs>
                    <w:snapToGrid w:val="0"/>
                    <w:rPr>
                      <w:lang w:val="en-US"/>
                    </w:rPr>
                  </w:pPr>
                  <w:r w:rsidRPr="002853AF">
                    <w:rPr>
                      <w:lang w:val="en-US"/>
                    </w:rPr>
                    <w:t>Excellent  (5)</w:t>
                  </w:r>
                </w:p>
              </w:tc>
            </w:tr>
          </w:tbl>
          <w:p w14:paraId="29B5ADFA" w14:textId="77777777" w:rsidR="008A56D4" w:rsidRPr="00513D37" w:rsidRDefault="008A56D4" w:rsidP="0081770D">
            <w:pPr>
              <w:pStyle w:val="FootnoteText"/>
              <w:rPr>
                <w:lang w:val="en-US"/>
              </w:rPr>
            </w:pPr>
          </w:p>
        </w:tc>
      </w:tr>
      <w:tr w:rsidR="008A56D4" w:rsidRPr="004601FD" w14:paraId="37BEF3D3" w14:textId="77777777" w:rsidTr="59EA390A">
        <w:trPr>
          <w:trHeight w:val="340"/>
        </w:trPr>
        <w:tc>
          <w:tcPr>
            <w:tcW w:w="10327" w:type="dxa"/>
            <w:gridSpan w:val="11"/>
            <w:shd w:val="clear" w:color="auto" w:fill="595959" w:themeFill="text1" w:themeFillTint="A6"/>
            <w:vAlign w:val="center"/>
          </w:tcPr>
          <w:p w14:paraId="65CAFFA9" w14:textId="77777777" w:rsidR="008A56D4" w:rsidRPr="004601FD" w:rsidRDefault="008A56D4" w:rsidP="0081770D">
            <w:pPr>
              <w:rPr>
                <w:b/>
                <w:color w:val="FFFFFF"/>
                <w:lang w:val="en-US"/>
              </w:rPr>
            </w:pPr>
            <w:r w:rsidRPr="004601FD">
              <w:rPr>
                <w:b/>
                <w:color w:val="FFFFFF"/>
                <w:lang w:val="en-US"/>
              </w:rPr>
              <w:t>10. Verification of learning outcomes:</w:t>
            </w:r>
          </w:p>
        </w:tc>
      </w:tr>
      <w:tr w:rsidR="008A56D4" w:rsidRPr="00513D37" w14:paraId="0FA2FD17" w14:textId="77777777" w:rsidTr="59EA390A">
        <w:trPr>
          <w:trHeight w:val="343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14:paraId="339CC20A" w14:textId="78FA39FF" w:rsidR="008A56D4" w:rsidRPr="00395379" w:rsidRDefault="008A56D4" w:rsidP="0081770D">
            <w:pPr>
              <w:jc w:val="center"/>
              <w:rPr>
                <w:b/>
                <w:lang w:val="en-US"/>
              </w:rPr>
            </w:pPr>
            <w:r w:rsidRPr="00395379">
              <w:rPr>
                <w:b/>
                <w:lang w:val="en-US"/>
              </w:rPr>
              <w:t xml:space="preserve">Outcome </w:t>
            </w:r>
            <w:r w:rsidR="00843747">
              <w:rPr>
                <w:b/>
                <w:lang w:val="en-US"/>
              </w:rPr>
              <w:t>number</w:t>
            </w:r>
          </w:p>
        </w:tc>
        <w:tc>
          <w:tcPr>
            <w:tcW w:w="8484" w:type="dxa"/>
            <w:gridSpan w:val="8"/>
            <w:shd w:val="clear" w:color="auto" w:fill="FFFFFF" w:themeFill="background1"/>
            <w:vAlign w:val="center"/>
          </w:tcPr>
          <w:p w14:paraId="1FCCD20D" w14:textId="77777777" w:rsidR="008A56D4" w:rsidRPr="00395379" w:rsidRDefault="008A56D4" w:rsidP="0081770D">
            <w:pPr>
              <w:jc w:val="center"/>
              <w:rPr>
                <w:b/>
                <w:lang w:val="en-US"/>
              </w:rPr>
            </w:pPr>
            <w:r w:rsidRPr="00395379">
              <w:rPr>
                <w:b/>
                <w:bCs/>
                <w:lang w:val="en-US"/>
              </w:rPr>
              <w:t>Evaluation method</w:t>
            </w:r>
          </w:p>
        </w:tc>
      </w:tr>
      <w:tr w:rsidR="008A56D4" w:rsidRPr="00B35D5E" w14:paraId="757F0780" w14:textId="77777777" w:rsidTr="59EA390A">
        <w:tc>
          <w:tcPr>
            <w:tcW w:w="1843" w:type="dxa"/>
            <w:gridSpan w:val="3"/>
            <w:vMerge/>
            <w:vAlign w:val="center"/>
          </w:tcPr>
          <w:p w14:paraId="7AD40FF4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474F11D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Open-ended questions</w:t>
            </w:r>
          </w:p>
          <w:p w14:paraId="0552A78D" w14:textId="77777777" w:rsidR="008A56D4" w:rsidRPr="00FF42F8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test and mini-tests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F280AC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Computational questions</w:t>
            </w:r>
          </w:p>
          <w:p w14:paraId="483F2605" w14:textId="77777777" w:rsidR="008A56D4" w:rsidRPr="00FF42F8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tests and mini-tests</w:t>
            </w:r>
            <w:r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9A257FF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Individual task</w:t>
            </w:r>
            <w:r>
              <w:rPr>
                <w:lang w:val="en-US"/>
              </w:rPr>
              <w:br/>
            </w:r>
            <w:r w:rsidRPr="00395379">
              <w:rPr>
                <w:i/>
                <w:lang w:val="en-US"/>
              </w:rPr>
              <w:t>(document for teacher’s feedback and evaluation prepared by individual)</w:t>
            </w:r>
          </w:p>
        </w:tc>
        <w:tc>
          <w:tcPr>
            <w:tcW w:w="2672" w:type="dxa"/>
            <w:gridSpan w:val="4"/>
            <w:shd w:val="clear" w:color="auto" w:fill="FFFFFF" w:themeFill="background1"/>
            <w:vAlign w:val="center"/>
          </w:tcPr>
          <w:p w14:paraId="2416A4BC" w14:textId="77777777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Group project</w:t>
            </w:r>
          </w:p>
          <w:p w14:paraId="13BA84A2" w14:textId="77777777" w:rsidR="008A56D4" w:rsidRPr="00395379" w:rsidRDefault="008A56D4" w:rsidP="0081770D">
            <w:pPr>
              <w:jc w:val="center"/>
              <w:rPr>
                <w:i/>
                <w:lang w:val="en-US"/>
              </w:rPr>
            </w:pPr>
            <w:r w:rsidRPr="00395379">
              <w:rPr>
                <w:i/>
                <w:lang w:val="en-US"/>
              </w:rPr>
              <w:t>(document for teacher’s feedback and evaluation prepared by group of students)</w:t>
            </w:r>
          </w:p>
        </w:tc>
      </w:tr>
      <w:tr w:rsidR="008A56D4" w:rsidRPr="00513D37" w14:paraId="7D8E24BC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254FB2BC" w14:textId="55D0EE6D" w:rsidR="008A56D4" w:rsidRPr="00513D37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7D88AC3C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F44871C" w14:textId="7C5C1CD2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03002D3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38D2798F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67373699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51244392" w14:textId="4B57C19C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77411ADE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7B0A6E5" w14:textId="4CEB5D03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6EFF5690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54A8B511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05DC17A3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4C367B3A" w14:textId="00AB5ABD" w:rsidR="008A56D4" w:rsidRDefault="008A56D4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61222C45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70948DA" w14:textId="7ACAB0BE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A3CC1B7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47E0605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0E8B9C36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678386A1" w14:textId="08AECD58" w:rsidR="008A56D4" w:rsidRDefault="00843747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3BD0B417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099BBE2" w14:textId="77777777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4C9ABA9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37CB5513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6BA41124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1CF48315" w14:textId="62F107B7" w:rsidR="008A56D4" w:rsidRDefault="00843747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…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6B5590B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C9CF539" w14:textId="77777777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3C786F96" w14:textId="3244219F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735DAC33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3950F870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10329295" w14:textId="793812B4" w:rsidR="008A56D4" w:rsidRDefault="00843747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7F2E2562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85D16D7" w14:textId="77777777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164201DC" w14:textId="78C82BC5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7D4E20E5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  <w:tr w:rsidR="008A56D4" w:rsidRPr="00513D37" w14:paraId="685A7C88" w14:textId="77777777" w:rsidTr="59EA390A">
        <w:trPr>
          <w:trHeight w:val="311"/>
        </w:trPr>
        <w:tc>
          <w:tcPr>
            <w:tcW w:w="1843" w:type="dxa"/>
            <w:gridSpan w:val="3"/>
            <w:shd w:val="clear" w:color="auto" w:fill="EAF1DD" w:themeFill="accent3" w:themeFillTint="33"/>
            <w:vAlign w:val="center"/>
          </w:tcPr>
          <w:p w14:paraId="7257B547" w14:textId="4CEF93E6" w:rsidR="008A56D4" w:rsidRDefault="00843747" w:rsidP="00817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559" w:type="dxa"/>
            <w:gridSpan w:val="2"/>
            <w:shd w:val="clear" w:color="auto" w:fill="EAF1DD" w:themeFill="accent3" w:themeFillTint="33"/>
            <w:vAlign w:val="center"/>
          </w:tcPr>
          <w:p w14:paraId="29D267C5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7E3B787" w14:textId="77777777" w:rsidR="008A56D4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14:paraId="46046A0B" w14:textId="1E09CB4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  <w:tc>
          <w:tcPr>
            <w:tcW w:w="2672" w:type="dxa"/>
            <w:gridSpan w:val="4"/>
            <w:shd w:val="clear" w:color="auto" w:fill="EAF1DD" w:themeFill="accent3" w:themeFillTint="33"/>
            <w:vAlign w:val="center"/>
          </w:tcPr>
          <w:p w14:paraId="32650416" w14:textId="77777777" w:rsidR="008A56D4" w:rsidRPr="00513D37" w:rsidRDefault="008A56D4" w:rsidP="0081770D">
            <w:pPr>
              <w:jc w:val="center"/>
              <w:rPr>
                <w:lang w:val="en-US"/>
              </w:rPr>
            </w:pPr>
          </w:p>
        </w:tc>
      </w:tr>
    </w:tbl>
    <w:p w14:paraId="7C53ED8D" w14:textId="77777777" w:rsidR="0062326F" w:rsidRPr="0000463F" w:rsidRDefault="0062326F">
      <w:pPr>
        <w:rPr>
          <w:rFonts w:asciiTheme="minorHAnsi" w:hAnsiTheme="minorHAnsi" w:cstheme="minorHAnsi"/>
          <w:lang w:val="en-US"/>
        </w:rPr>
      </w:pPr>
    </w:p>
    <w:sectPr w:rsidR="0062326F" w:rsidRPr="0000463F" w:rsidSect="005776FD">
      <w:headerReference w:type="default" r:id="rId10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F8609" w14:textId="77777777" w:rsidR="00180DA2" w:rsidRDefault="00180DA2" w:rsidP="005776FD">
      <w:r>
        <w:separator/>
      </w:r>
    </w:p>
  </w:endnote>
  <w:endnote w:type="continuationSeparator" w:id="0">
    <w:p w14:paraId="0C92D6C3" w14:textId="77777777" w:rsidR="00180DA2" w:rsidRDefault="00180DA2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8212" w14:textId="77777777" w:rsidR="00180DA2" w:rsidRDefault="00180DA2" w:rsidP="005776FD">
      <w:r>
        <w:separator/>
      </w:r>
    </w:p>
  </w:footnote>
  <w:footnote w:type="continuationSeparator" w:id="0">
    <w:p w14:paraId="35C85B89" w14:textId="77777777" w:rsidR="00180DA2" w:rsidRDefault="00180DA2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DCF8" w14:textId="636F621E" w:rsidR="005776FD" w:rsidRPr="005776FD" w:rsidRDefault="005776FD" w:rsidP="009B7EE7">
    <w:pPr>
      <w:pStyle w:val="Header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2F1"/>
    <w:multiLevelType w:val="hybridMultilevel"/>
    <w:tmpl w:val="0BF4E798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12323BFB"/>
    <w:multiLevelType w:val="hybridMultilevel"/>
    <w:tmpl w:val="8D66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68C6"/>
    <w:multiLevelType w:val="hybridMultilevel"/>
    <w:tmpl w:val="A37AFC4A"/>
    <w:lvl w:ilvl="0" w:tplc="19D8F56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7878"/>
    <w:multiLevelType w:val="hybridMultilevel"/>
    <w:tmpl w:val="D4B6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706B"/>
    <w:multiLevelType w:val="hybridMultilevel"/>
    <w:tmpl w:val="18B8AD1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 w15:restartNumberingAfterBreak="0">
    <w:nsid w:val="4DE05251"/>
    <w:multiLevelType w:val="hybridMultilevel"/>
    <w:tmpl w:val="519C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F5412"/>
    <w:multiLevelType w:val="multilevel"/>
    <w:tmpl w:val="FF6ED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00" w:hanging="1440"/>
      </w:pPr>
      <w:rPr>
        <w:rFonts w:hint="default"/>
        <w:b/>
      </w:rPr>
    </w:lvl>
  </w:abstractNum>
  <w:abstractNum w:abstractNumId="7" w15:restartNumberingAfterBreak="0">
    <w:nsid w:val="5DDF0519"/>
    <w:multiLevelType w:val="hybridMultilevel"/>
    <w:tmpl w:val="910E29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FD"/>
    <w:rsid w:val="0000463F"/>
    <w:rsid w:val="00067D5D"/>
    <w:rsid w:val="00086A62"/>
    <w:rsid w:val="000A72AF"/>
    <w:rsid w:val="00142127"/>
    <w:rsid w:val="00156BA4"/>
    <w:rsid w:val="00180DA2"/>
    <w:rsid w:val="00236476"/>
    <w:rsid w:val="00273599"/>
    <w:rsid w:val="002B6DE1"/>
    <w:rsid w:val="00323B63"/>
    <w:rsid w:val="00426236"/>
    <w:rsid w:val="004E15BF"/>
    <w:rsid w:val="00505FCF"/>
    <w:rsid w:val="005776FD"/>
    <w:rsid w:val="00616556"/>
    <w:rsid w:val="0062326F"/>
    <w:rsid w:val="00627BB1"/>
    <w:rsid w:val="00661527"/>
    <w:rsid w:val="00696217"/>
    <w:rsid w:val="006D3110"/>
    <w:rsid w:val="00724AE4"/>
    <w:rsid w:val="0078354C"/>
    <w:rsid w:val="00843747"/>
    <w:rsid w:val="008A56D4"/>
    <w:rsid w:val="00936AAA"/>
    <w:rsid w:val="00962FC8"/>
    <w:rsid w:val="009B7EE7"/>
    <w:rsid w:val="00AB26B7"/>
    <w:rsid w:val="00AD408A"/>
    <w:rsid w:val="00B35D5E"/>
    <w:rsid w:val="00B415D3"/>
    <w:rsid w:val="00B4292B"/>
    <w:rsid w:val="00B95CDB"/>
    <w:rsid w:val="00BC4A9C"/>
    <w:rsid w:val="00C436F4"/>
    <w:rsid w:val="00CA4544"/>
    <w:rsid w:val="00D11535"/>
    <w:rsid w:val="00DA632F"/>
    <w:rsid w:val="00DC2350"/>
    <w:rsid w:val="00E83AAC"/>
    <w:rsid w:val="0A54C028"/>
    <w:rsid w:val="1D07599C"/>
    <w:rsid w:val="2D40E6D3"/>
    <w:rsid w:val="590F5575"/>
    <w:rsid w:val="59E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3590F"/>
  <w15:docId w15:val="{8584D750-1A6A-AB49-8572-BED1A5A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1">
    <w:name w:val="Tabela - Siatka1"/>
    <w:basedOn w:val="TableNormal"/>
    <w:next w:val="TableGrid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"/>
    <w:rsid w:val="008A56D4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A56D4"/>
  </w:style>
  <w:style w:type="character" w:customStyle="1" w:styleId="FootnoteTextChar">
    <w:name w:val="Footnote Text Char"/>
    <w:basedOn w:val="DefaultParagraphFont"/>
    <w:link w:val="FootnoteText"/>
    <w:semiHidden/>
    <w:rsid w:val="008A56D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1E9716C953248922199565E435658" ma:contentTypeVersion="11" ma:contentTypeDescription="Create a new document." ma:contentTypeScope="" ma:versionID="7c54ffe5a00c346f38aeeea2b9e32856">
  <xsd:schema xmlns:xsd="http://www.w3.org/2001/XMLSchema" xmlns:xs="http://www.w3.org/2001/XMLSchema" xmlns:p="http://schemas.microsoft.com/office/2006/metadata/properties" xmlns:ns3="d9f922af-7ef2-4ae6-9488-57d0520f7a38" xmlns:ns4="477262a0-dbd3-428e-94d7-c0a3c4dfd5f0" targetNamespace="http://schemas.microsoft.com/office/2006/metadata/properties" ma:root="true" ma:fieldsID="9f7897d6be42573f78f732e36f2fa8b0" ns3:_="" ns4:_="">
    <xsd:import namespace="d9f922af-7ef2-4ae6-9488-57d0520f7a38"/>
    <xsd:import namespace="477262a0-dbd3-428e-94d7-c0a3c4dfd5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22af-7ef2-4ae6-9488-57d0520f7a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2a0-dbd3-428e-94d7-c0a3c4dfd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BD89A-76F1-4ADC-8411-ED2AC8F9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8A00F-3802-481C-BCF3-FF9417CDE92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477262a0-dbd3-428e-94d7-c0a3c4dfd5f0"/>
    <ds:schemaRef ds:uri="http://www.w3.org/XML/1998/namespace"/>
    <ds:schemaRef ds:uri="http://schemas.openxmlformats.org/package/2006/metadata/core-properties"/>
    <ds:schemaRef ds:uri="d9f922af-7ef2-4ae6-9488-57d0520f7a38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5C4A3E-B1F9-4A1F-BCA3-3F987234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922af-7ef2-4ae6-9488-57d0520f7a38"/>
    <ds:schemaRef ds:uri="477262a0-dbd3-428e-94d7-c0a3c4dfd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Markus Hermann Meckl</cp:lastModifiedBy>
  <cp:revision>2</cp:revision>
  <dcterms:created xsi:type="dcterms:W3CDTF">2020-09-30T10:34:00Z</dcterms:created>
  <dcterms:modified xsi:type="dcterms:W3CDTF">2020-09-30T10:34:00Z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0x0101003F01E9716C953248922199565E435658</vt:lpwstr>
  </property>
</Properties>
</file>