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0AF" w14:textId="77777777" w:rsidR="00724AE4" w:rsidRPr="0000463F" w:rsidRDefault="00724AE4" w:rsidP="005776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4AC37851" w14:textId="4946DF61" w:rsidR="0062326F" w:rsidRPr="0062326F" w:rsidRDefault="00843747" w:rsidP="0062326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>REMix</w:t>
      </w:r>
      <w:proofErr w:type="spellEnd"/>
      <w:r w:rsidR="008A56D4"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 xml:space="preserve"> COURSE SYLLABUS </w:t>
      </w:r>
    </w:p>
    <w:tbl>
      <w:tblPr>
        <w:tblW w:w="1032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72"/>
        <w:gridCol w:w="709"/>
        <w:gridCol w:w="709"/>
        <w:gridCol w:w="850"/>
        <w:gridCol w:w="1701"/>
        <w:gridCol w:w="2552"/>
        <w:gridCol w:w="135"/>
        <w:gridCol w:w="1263"/>
        <w:gridCol w:w="1265"/>
        <w:gridCol w:w="9"/>
      </w:tblGrid>
      <w:tr w:rsidR="008A56D4" w:rsidRPr="00513D37" w14:paraId="7232653D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47EBA719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 w:rsidRPr="00095141">
              <w:rPr>
                <w:b/>
                <w:lang w:val="en-US"/>
              </w:rPr>
              <w:t xml:space="preserve">Name of the course: 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36764499" w14:textId="083B6A4B" w:rsidR="008A56D4" w:rsidRPr="009B7C09" w:rsidRDefault="00817D4D" w:rsidP="0081770D">
            <w:pPr>
              <w:pStyle w:val="Zawartotabeli"/>
              <w:snapToGrid w:val="0"/>
              <w:ind w:left="88"/>
              <w:rPr>
                <w:color w:val="17365D" w:themeColor="text2" w:themeShade="BF"/>
                <w:lang w:val="en-US"/>
              </w:rPr>
            </w:pPr>
            <w:r w:rsidRPr="009B7C09">
              <w:rPr>
                <w:color w:val="17365D" w:themeColor="text2" w:themeShade="BF"/>
                <w:lang w:val="en-US"/>
              </w:rPr>
              <w:t>Psychology and Migration</w:t>
            </w:r>
          </w:p>
        </w:tc>
      </w:tr>
      <w:tr w:rsidR="008A56D4" w:rsidRPr="00513D37" w14:paraId="7B63086E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1262D631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E-learning hours: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74BFC12E" w14:textId="3A387F4C" w:rsidR="008A56D4" w:rsidRPr="009B7C09" w:rsidRDefault="008A56D4" w:rsidP="0081770D">
            <w:pPr>
              <w:pStyle w:val="Zawartotabeli"/>
              <w:snapToGrid w:val="0"/>
              <w:ind w:left="88"/>
              <w:rPr>
                <w:color w:val="17365D"/>
                <w:lang w:val="en-US"/>
              </w:rPr>
            </w:pPr>
          </w:p>
        </w:tc>
      </w:tr>
      <w:tr w:rsidR="008A56D4" w:rsidRPr="00513D37" w14:paraId="1FF80A77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21475495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48848BE7" w14:textId="2AED3418" w:rsidR="008A56D4" w:rsidRPr="009B7C09" w:rsidRDefault="00817D4D" w:rsidP="0081770D">
            <w:pPr>
              <w:pStyle w:val="Zawartotabeli"/>
              <w:snapToGrid w:val="0"/>
              <w:ind w:left="88"/>
              <w:rPr>
                <w:color w:val="17365D"/>
                <w:lang w:val="en-US"/>
              </w:rPr>
            </w:pPr>
            <w:r w:rsidRPr="009B7C09">
              <w:rPr>
                <w:color w:val="17365D" w:themeColor="text2" w:themeShade="BF"/>
                <w:lang w:val="en-US"/>
              </w:rPr>
              <w:t>Evrinomy Avdi</w:t>
            </w:r>
            <w:r w:rsidR="00CD40B1" w:rsidRPr="009B7C09">
              <w:rPr>
                <w:color w:val="17365D" w:themeColor="text2" w:themeShade="BF"/>
                <w:lang w:val="en-US"/>
              </w:rPr>
              <w:t>,</w:t>
            </w:r>
            <w:r w:rsidRPr="009B7C09">
              <w:rPr>
                <w:color w:val="17365D" w:themeColor="text2" w:themeShade="BF"/>
                <w:lang w:val="en-US"/>
              </w:rPr>
              <w:t xml:space="preserve"> Kyriaki Μ. Chranta</w:t>
            </w:r>
            <w:r w:rsidR="00CD40B1" w:rsidRPr="009B7C09">
              <w:rPr>
                <w:color w:val="17365D" w:themeColor="text2" w:themeShade="BF"/>
                <w:lang w:val="en-US"/>
              </w:rPr>
              <w:t xml:space="preserve"> &amp; Sofia Kasola </w:t>
            </w:r>
          </w:p>
        </w:tc>
      </w:tr>
      <w:tr w:rsidR="008A56D4" w:rsidRPr="00513D37" w14:paraId="0C1902B8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09B64024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2FC74E71" w14:textId="3C88D59C" w:rsidR="008A56D4" w:rsidRPr="009B7C09" w:rsidRDefault="1D07599C" w:rsidP="0081770D">
            <w:pPr>
              <w:pStyle w:val="Zawartotabeli"/>
              <w:snapToGrid w:val="0"/>
              <w:ind w:left="88"/>
              <w:rPr>
                <w:color w:val="17365D"/>
                <w:lang w:val="en-US"/>
              </w:rPr>
            </w:pPr>
            <w:r w:rsidRPr="009B7C09">
              <w:rPr>
                <w:color w:val="17365D" w:themeColor="text2" w:themeShade="BF"/>
                <w:lang w:val="en-US"/>
              </w:rPr>
              <w:t xml:space="preserve"> </w:t>
            </w:r>
            <w:r w:rsidR="00817D4D" w:rsidRPr="009B7C09">
              <w:rPr>
                <w:color w:val="17365D" w:themeColor="text2" w:themeShade="BF"/>
                <w:lang w:val="en-US"/>
              </w:rPr>
              <w:t>Aristotle University of Thessaloniki</w:t>
            </w:r>
          </w:p>
        </w:tc>
      </w:tr>
      <w:tr w:rsidR="008A56D4" w:rsidRPr="004601FD" w14:paraId="1F415CEC" w14:textId="77777777" w:rsidTr="59EA390A">
        <w:trPr>
          <w:trHeight w:val="15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D869651" w14:textId="59377FD5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1</w:t>
            </w:r>
            <w:r w:rsidR="008A56D4" w:rsidRPr="004601FD">
              <w:rPr>
                <w:b/>
                <w:color w:val="FFFFFF"/>
                <w:lang w:val="en-US"/>
              </w:rPr>
              <w:t>. Objectives of the course:</w:t>
            </w:r>
          </w:p>
        </w:tc>
      </w:tr>
      <w:tr w:rsidR="008A56D4" w:rsidRPr="00513D37" w14:paraId="0E96038D" w14:textId="77777777" w:rsidTr="59EA390A">
        <w:trPr>
          <w:trHeight w:val="652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06390041" w14:textId="086B3808" w:rsidR="00E41761" w:rsidRPr="002455AA" w:rsidRDefault="00890FE4" w:rsidP="0081770D">
            <w:pPr>
              <w:rPr>
                <w:lang w:val="en-GB"/>
              </w:rPr>
            </w:pPr>
            <w:r w:rsidRPr="002455AA">
              <w:rPr>
                <w:lang w:val="en-GB"/>
              </w:rPr>
              <w:t xml:space="preserve">This </w:t>
            </w:r>
            <w:r w:rsidR="00E41761" w:rsidRPr="002455AA">
              <w:rPr>
                <w:lang w:val="en-GB"/>
              </w:rPr>
              <w:t xml:space="preserve">module </w:t>
            </w:r>
            <w:r w:rsidRPr="002455AA">
              <w:rPr>
                <w:lang w:val="en-GB"/>
              </w:rPr>
              <w:t xml:space="preserve">aims </w:t>
            </w:r>
            <w:r w:rsidR="004223F9" w:rsidRPr="002455AA">
              <w:rPr>
                <w:lang w:val="en-GB"/>
              </w:rPr>
              <w:t xml:space="preserve">to provide </w:t>
            </w:r>
            <w:r w:rsidR="00ED46EA" w:rsidRPr="002455AA">
              <w:rPr>
                <w:lang w:val="en-GB"/>
              </w:rPr>
              <w:t xml:space="preserve">an understanding </w:t>
            </w:r>
            <w:r w:rsidR="00B71A5F" w:rsidRPr="002455AA">
              <w:rPr>
                <w:lang w:val="en-GB"/>
              </w:rPr>
              <w:t xml:space="preserve">of some </w:t>
            </w:r>
            <w:r w:rsidR="00E41761" w:rsidRPr="002455AA">
              <w:rPr>
                <w:lang w:val="en-GB"/>
              </w:rPr>
              <w:t xml:space="preserve">key </w:t>
            </w:r>
            <w:r w:rsidR="00B71A5F" w:rsidRPr="002455AA">
              <w:rPr>
                <w:lang w:val="en-GB"/>
              </w:rPr>
              <w:t xml:space="preserve">aspects of migration from a psychological perspective. </w:t>
            </w:r>
          </w:p>
          <w:p w14:paraId="1EEC0090" w14:textId="067AE3E9" w:rsidR="00BC28C6" w:rsidRPr="002455AA" w:rsidRDefault="00B70CAD" w:rsidP="0081770D">
            <w:pPr>
              <w:rPr>
                <w:lang w:val="en-GB"/>
              </w:rPr>
            </w:pPr>
            <w:r w:rsidRPr="002455AA">
              <w:rPr>
                <w:lang w:val="en-GB"/>
              </w:rPr>
              <w:t xml:space="preserve">The module </w:t>
            </w:r>
            <w:r w:rsidR="00753BAA" w:rsidRPr="002455AA">
              <w:rPr>
                <w:lang w:val="en-GB"/>
              </w:rPr>
              <w:t xml:space="preserve">entails </w:t>
            </w:r>
            <w:r w:rsidR="00506150" w:rsidRPr="002455AA">
              <w:rPr>
                <w:lang w:val="en-GB"/>
              </w:rPr>
              <w:t xml:space="preserve">theories </w:t>
            </w:r>
            <w:r w:rsidR="00BA134B" w:rsidRPr="002455AA">
              <w:rPr>
                <w:lang w:val="en-GB"/>
              </w:rPr>
              <w:t xml:space="preserve">from social psychology that provide a framework for conceptualizing </w:t>
            </w:r>
            <w:r w:rsidR="00D2395E" w:rsidRPr="002455AA">
              <w:rPr>
                <w:lang w:val="en-GB"/>
              </w:rPr>
              <w:t xml:space="preserve">relations between migrant (minority) and host society (majority) groups and </w:t>
            </w:r>
            <w:r w:rsidR="00025628" w:rsidRPr="002455AA">
              <w:rPr>
                <w:lang w:val="en-GB"/>
              </w:rPr>
              <w:t xml:space="preserve">key issues </w:t>
            </w:r>
            <w:r w:rsidR="003B4CBF" w:rsidRPr="002455AA">
              <w:t xml:space="preserve">concerning the mental health of migrants and refugees. </w:t>
            </w:r>
            <w:r w:rsidR="007A1B4E" w:rsidRPr="002455AA">
              <w:t>As such, th</w:t>
            </w:r>
            <w:r w:rsidR="005F7AEF" w:rsidRPr="002455AA">
              <w:t xml:space="preserve">e module </w:t>
            </w:r>
            <w:r w:rsidR="004651BE" w:rsidRPr="002455AA">
              <w:t>focuses on individual experience</w:t>
            </w:r>
            <w:r w:rsidR="00786470" w:rsidRPr="002455AA">
              <w:t>s</w:t>
            </w:r>
            <w:r w:rsidR="00AC6C62" w:rsidRPr="002455AA">
              <w:t>, intergroup</w:t>
            </w:r>
            <w:r w:rsidR="004651BE" w:rsidRPr="002455AA">
              <w:t xml:space="preserve"> </w:t>
            </w:r>
            <w:r w:rsidR="00125FD3" w:rsidRPr="002455AA">
              <w:t xml:space="preserve">rerlations </w:t>
            </w:r>
            <w:r w:rsidR="005E3D09" w:rsidRPr="002455AA">
              <w:t xml:space="preserve">and social processes </w:t>
            </w:r>
            <w:r w:rsidR="00AC6C62" w:rsidRPr="002455AA">
              <w:t>implicated in migration</w:t>
            </w:r>
            <w:r w:rsidR="000836B3" w:rsidRPr="002455AA">
              <w:t xml:space="preserve"> from</w:t>
            </w:r>
            <w:r w:rsidR="00B543E0" w:rsidRPr="002455AA">
              <w:t xml:space="preserve"> a psychologica</w:t>
            </w:r>
            <w:r w:rsidR="002B679A" w:rsidRPr="002455AA">
              <w:t>l</w:t>
            </w:r>
            <w:r w:rsidR="00B543E0" w:rsidRPr="002455AA">
              <w:t xml:space="preserve"> perspective</w:t>
            </w:r>
            <w:r w:rsidR="0009343F" w:rsidRPr="002455AA">
              <w:t>.</w:t>
            </w:r>
            <w:r w:rsidR="00AC6C62" w:rsidRPr="002455AA">
              <w:t xml:space="preserve"> </w:t>
            </w:r>
          </w:p>
          <w:p w14:paraId="299685C1" w14:textId="257DAD22" w:rsidR="00890FE4" w:rsidRPr="00513D37" w:rsidRDefault="00890FE4" w:rsidP="004251B6">
            <w:pPr>
              <w:rPr>
                <w:lang w:val="en-US"/>
              </w:rPr>
            </w:pPr>
          </w:p>
        </w:tc>
      </w:tr>
      <w:tr w:rsidR="008A56D4" w:rsidRPr="00B35D5E" w14:paraId="6B6D94C5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C12E1CF" w14:textId="4B1010C0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2</w:t>
            </w:r>
            <w:r w:rsidR="008A56D4" w:rsidRPr="004601FD">
              <w:rPr>
                <w:b/>
                <w:color w:val="FFFFFF"/>
                <w:lang w:val="en-US"/>
              </w:rPr>
              <w:t xml:space="preserve">. </w:t>
            </w:r>
            <w:r>
              <w:rPr>
                <w:b/>
                <w:color w:val="FFFFFF"/>
                <w:lang w:val="en-US"/>
              </w:rPr>
              <w:t>L</w:t>
            </w:r>
            <w:r w:rsidR="008A56D4" w:rsidRPr="004601FD">
              <w:rPr>
                <w:b/>
                <w:color w:val="FFFFFF"/>
                <w:lang w:val="en-US"/>
              </w:rPr>
              <w:t>earning outcomes of the course:</w:t>
            </w:r>
          </w:p>
        </w:tc>
      </w:tr>
      <w:tr w:rsidR="008A56D4" w:rsidRPr="00B35D5E" w14:paraId="658F93FF" w14:textId="77777777" w:rsidTr="59EA390A">
        <w:trPr>
          <w:gridAfter w:val="1"/>
          <w:wAfter w:w="9" w:type="dxa"/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5F129D9" w14:textId="425F604E" w:rsidR="008A56D4" w:rsidRPr="00095141" w:rsidRDefault="008A56D4" w:rsidP="008177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84" w:type="dxa"/>
            <w:gridSpan w:val="8"/>
            <w:shd w:val="clear" w:color="auto" w:fill="D9D9D9" w:themeFill="background1" w:themeFillShade="D9"/>
            <w:vAlign w:val="center"/>
          </w:tcPr>
          <w:p w14:paraId="6FDF5367" w14:textId="77777777" w:rsidR="008A56D4" w:rsidRPr="00095141" w:rsidRDefault="008A56D4" w:rsidP="0081770D">
            <w:pPr>
              <w:rPr>
                <w:b/>
                <w:color w:val="17365D"/>
                <w:lang w:val="en-US"/>
              </w:rPr>
            </w:pPr>
            <w:r w:rsidRPr="00095141">
              <w:rPr>
                <w:b/>
                <w:lang w:val="en-US"/>
              </w:rPr>
              <w:t>Learning outcomes of the course</w:t>
            </w:r>
          </w:p>
        </w:tc>
      </w:tr>
      <w:tr w:rsidR="008A56D4" w:rsidRPr="00B35D5E" w14:paraId="25456D9C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FFFFFF" w:themeFill="background1"/>
            <w:vAlign w:val="center"/>
          </w:tcPr>
          <w:p w14:paraId="7DC5B889" w14:textId="77777777" w:rsidR="008A56D4" w:rsidRPr="00513D37" w:rsidRDefault="00B35D5E" w:rsidP="0081770D">
            <w:pPr>
              <w:rPr>
                <w:lang w:val="en-US"/>
              </w:rPr>
            </w:pPr>
            <w:r>
              <w:rPr>
                <w:lang w:val="en-US"/>
              </w:rPr>
              <w:t>Participants</w:t>
            </w:r>
            <w:r w:rsidR="008A56D4">
              <w:rPr>
                <w:lang w:val="en-US"/>
              </w:rPr>
              <w:t xml:space="preserve"> </w:t>
            </w:r>
            <w:r w:rsidR="008A56D4" w:rsidRPr="00787B81">
              <w:rPr>
                <w:lang w:val="en-GB"/>
              </w:rPr>
              <w:t>should</w:t>
            </w:r>
            <w:r w:rsidR="008A56D4">
              <w:rPr>
                <w:lang w:val="en-US"/>
              </w:rPr>
              <w:t xml:space="preserve"> be able to:</w:t>
            </w:r>
          </w:p>
        </w:tc>
      </w:tr>
      <w:tr w:rsidR="008A56D4" w:rsidRPr="00513D37" w14:paraId="50451242" w14:textId="77777777" w:rsidTr="00817D4D">
        <w:trPr>
          <w:gridAfter w:val="1"/>
          <w:wAfter w:w="9" w:type="dxa"/>
          <w:trHeight w:val="458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38ACDAA" w14:textId="3CB243BD" w:rsidR="008A56D4" w:rsidRPr="002455AA" w:rsidRDefault="008A56D4" w:rsidP="00FF71A7">
            <w:pPr>
              <w:contextualSpacing/>
              <w:jc w:val="center"/>
            </w:pPr>
            <w:r w:rsidRPr="002455AA">
              <w:t>01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2F00E45A" w14:textId="0FB21440" w:rsidR="008A56D4" w:rsidRPr="002455AA" w:rsidRDefault="00FC60CA" w:rsidP="00FF71A7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5AA">
              <w:rPr>
                <w:rFonts w:ascii="Times New Roman" w:hAnsi="Times New Roman"/>
                <w:sz w:val="20"/>
                <w:szCs w:val="20"/>
              </w:rPr>
              <w:t>Discuss</w:t>
            </w:r>
            <w:r w:rsidR="00A5575C" w:rsidRPr="002455AA">
              <w:rPr>
                <w:rFonts w:ascii="Times New Roman" w:hAnsi="Times New Roman"/>
                <w:sz w:val="20"/>
                <w:szCs w:val="20"/>
              </w:rPr>
              <w:t xml:space="preserve"> key social psychological theories concerning social identity and </w:t>
            </w:r>
            <w:r w:rsidR="00BD245F" w:rsidRPr="002455AA">
              <w:rPr>
                <w:rFonts w:ascii="Times New Roman" w:hAnsi="Times New Roman"/>
                <w:sz w:val="20"/>
                <w:szCs w:val="20"/>
              </w:rPr>
              <w:t>inter-</w:t>
            </w:r>
            <w:r w:rsidR="00A5575C" w:rsidRPr="002455AA">
              <w:rPr>
                <w:rFonts w:ascii="Times New Roman" w:hAnsi="Times New Roman"/>
                <w:sz w:val="20"/>
                <w:szCs w:val="20"/>
              </w:rPr>
              <w:t>group relations</w:t>
            </w:r>
          </w:p>
        </w:tc>
      </w:tr>
      <w:tr w:rsidR="008A56D4" w:rsidRPr="00513D37" w14:paraId="3F179694" w14:textId="77777777" w:rsidTr="008C19A7">
        <w:trPr>
          <w:gridAfter w:val="1"/>
          <w:wAfter w:w="9" w:type="dxa"/>
          <w:trHeight w:val="585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4DA4559" w14:textId="1DDD7830" w:rsidR="008A56D4" w:rsidRPr="002455AA" w:rsidRDefault="008A56D4" w:rsidP="00FF71A7">
            <w:pPr>
              <w:contextualSpacing/>
              <w:jc w:val="center"/>
            </w:pPr>
            <w:r w:rsidRPr="002455AA">
              <w:t>02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44A312DE" w14:textId="1E60053D" w:rsidR="008A56D4" w:rsidRPr="002455AA" w:rsidRDefault="00123992" w:rsidP="00FF71A7">
            <w:pPr>
              <w:pStyle w:val="NoSpacing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5AA">
              <w:rPr>
                <w:rFonts w:ascii="Times New Roman" w:hAnsi="Times New Roman"/>
                <w:sz w:val="20"/>
                <w:szCs w:val="20"/>
              </w:rPr>
              <w:t xml:space="preserve">Understand the social psychological theories </w:t>
            </w:r>
            <w:r w:rsidR="00572134" w:rsidRPr="002455AA">
              <w:rPr>
                <w:rFonts w:ascii="Times New Roman" w:hAnsi="Times New Roman"/>
                <w:sz w:val="20"/>
                <w:szCs w:val="20"/>
              </w:rPr>
              <w:t xml:space="preserve">underlying </w:t>
            </w:r>
            <w:r w:rsidR="002E43CF" w:rsidRPr="002455AA">
              <w:rPr>
                <w:rFonts w:ascii="Times New Roman" w:hAnsi="Times New Roman"/>
                <w:sz w:val="20"/>
                <w:szCs w:val="20"/>
              </w:rPr>
              <w:t xml:space="preserve">prejudice, stereotyping and </w:t>
            </w:r>
            <w:r w:rsidR="00B5020C" w:rsidRPr="002455AA">
              <w:rPr>
                <w:rFonts w:ascii="Times New Roman" w:hAnsi="Times New Roman"/>
                <w:sz w:val="20"/>
                <w:szCs w:val="20"/>
              </w:rPr>
              <w:t>discrimination</w:t>
            </w:r>
            <w:r w:rsidR="00BD245F" w:rsidRPr="002455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6D4" w:rsidRPr="00513D37" w14:paraId="340D4D95" w14:textId="77777777" w:rsidTr="00817D4D">
        <w:trPr>
          <w:gridAfter w:val="1"/>
          <w:wAfter w:w="9" w:type="dxa"/>
          <w:trHeight w:val="371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6F893FF" w14:textId="54588AB3" w:rsidR="008A56D4" w:rsidRPr="002455AA" w:rsidRDefault="008A56D4" w:rsidP="00FF71A7">
            <w:pPr>
              <w:contextualSpacing/>
              <w:jc w:val="center"/>
            </w:pPr>
            <w:r w:rsidRPr="002455AA">
              <w:t>03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590217E" w14:textId="5CEC8752" w:rsidR="0070640C" w:rsidRPr="002455AA" w:rsidRDefault="00B53AD3" w:rsidP="00FF71A7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5AA">
              <w:rPr>
                <w:rFonts w:ascii="Times New Roman" w:hAnsi="Times New Roman"/>
                <w:sz w:val="20"/>
                <w:szCs w:val="20"/>
              </w:rPr>
              <w:t xml:space="preserve">Consider factors that can </w:t>
            </w:r>
            <w:r w:rsidR="00A2123F" w:rsidRPr="002455AA">
              <w:rPr>
                <w:rFonts w:ascii="Times New Roman" w:hAnsi="Times New Roman"/>
                <w:sz w:val="20"/>
                <w:szCs w:val="20"/>
              </w:rPr>
              <w:t xml:space="preserve">diminish </w:t>
            </w:r>
            <w:r w:rsidR="00801FEB" w:rsidRPr="002455AA">
              <w:rPr>
                <w:rFonts w:ascii="Times New Roman" w:hAnsi="Times New Roman"/>
                <w:sz w:val="20"/>
                <w:szCs w:val="20"/>
              </w:rPr>
              <w:t>intergroup conflict in the context of migration</w:t>
            </w:r>
          </w:p>
          <w:p w14:paraId="09524427" w14:textId="2032BD2D" w:rsidR="008A56D4" w:rsidRPr="002455AA" w:rsidRDefault="008A56D4" w:rsidP="00FF71A7">
            <w:pPr>
              <w:ind w:left="237"/>
              <w:contextualSpacing/>
              <w:rPr>
                <w:lang w:val="en-US"/>
              </w:rPr>
            </w:pPr>
          </w:p>
        </w:tc>
      </w:tr>
      <w:tr w:rsidR="0070640C" w:rsidRPr="0070640C" w14:paraId="4A99A79D" w14:textId="77777777" w:rsidTr="004E31BF">
        <w:trPr>
          <w:gridAfter w:val="1"/>
          <w:wAfter w:w="9" w:type="dxa"/>
          <w:trHeight w:val="375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D66168E" w14:textId="6A6B5DFA" w:rsidR="008A56D4" w:rsidRPr="002455AA" w:rsidRDefault="00912D7A" w:rsidP="00FF71A7">
            <w:pPr>
              <w:contextualSpacing/>
              <w:jc w:val="center"/>
            </w:pPr>
            <w:r w:rsidRPr="002455AA">
              <w:t>04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07C4616" w14:textId="049C692C" w:rsidR="008A56D4" w:rsidRPr="002455AA" w:rsidRDefault="0084023A" w:rsidP="00FF71A7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5AA">
              <w:rPr>
                <w:rFonts w:ascii="Times New Roman" w:hAnsi="Times New Roman"/>
                <w:sz w:val="20"/>
                <w:szCs w:val="20"/>
              </w:rPr>
              <w:t>Distinguish between different strategies of acculturation and understand their implications for intergroup relations</w:t>
            </w:r>
          </w:p>
        </w:tc>
      </w:tr>
      <w:tr w:rsidR="0084023A" w:rsidRPr="0070640C" w14:paraId="731BD55F" w14:textId="77777777" w:rsidTr="004E31BF">
        <w:trPr>
          <w:gridAfter w:val="1"/>
          <w:wAfter w:w="9" w:type="dxa"/>
          <w:trHeight w:val="375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0965C2E" w14:textId="53C1BD5A" w:rsidR="0084023A" w:rsidRPr="002455AA" w:rsidRDefault="0084023A" w:rsidP="00FF71A7">
            <w:pPr>
              <w:contextualSpacing/>
              <w:jc w:val="center"/>
            </w:pPr>
            <w:r w:rsidRPr="002455AA">
              <w:t>05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235AF2A8" w14:textId="3D79683C" w:rsidR="0084023A" w:rsidRPr="002455AA" w:rsidRDefault="0084023A" w:rsidP="00FF71A7">
            <w:pPr>
              <w:pStyle w:val="NoSpacing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5AA">
              <w:rPr>
                <w:rFonts w:ascii="Times New Roman" w:hAnsi="Times New Roman"/>
                <w:sz w:val="20"/>
                <w:szCs w:val="20"/>
              </w:rPr>
              <w:t>Recognize the implications of migration on mental health and consider the factors that can mitigate against the development of mental health difficulties in migrants and refugees.</w:t>
            </w:r>
          </w:p>
        </w:tc>
      </w:tr>
      <w:tr w:rsidR="008A56D4" w:rsidRPr="004601FD" w14:paraId="3CFA0EBB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1BF2642F" w14:textId="57B63CBD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3</w:t>
            </w:r>
            <w:r w:rsidR="008A56D4" w:rsidRPr="004601FD">
              <w:rPr>
                <w:b/>
                <w:color w:val="FFFFFF"/>
                <w:lang w:val="en-US"/>
              </w:rPr>
              <w:t>. Syllabus:</w:t>
            </w:r>
          </w:p>
        </w:tc>
      </w:tr>
      <w:tr w:rsidR="008A56D4" w:rsidRPr="00513D37" w14:paraId="72F8392E" w14:textId="77777777" w:rsidTr="59EA390A">
        <w:trPr>
          <w:trHeight w:val="799"/>
        </w:trPr>
        <w:tc>
          <w:tcPr>
            <w:tcW w:w="562" w:type="dxa"/>
            <w:vAlign w:val="center"/>
          </w:tcPr>
          <w:p w14:paraId="6013E37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>No</w:t>
            </w:r>
          </w:p>
        </w:tc>
        <w:tc>
          <w:tcPr>
            <w:tcW w:w="7228" w:type="dxa"/>
            <w:gridSpan w:val="7"/>
            <w:vAlign w:val="center"/>
          </w:tcPr>
          <w:p w14:paraId="760B1E27" w14:textId="77777777" w:rsidR="008A56D4" w:rsidRPr="00513D37" w:rsidRDefault="008A56D4" w:rsidP="0081770D">
            <w:pPr>
              <w:rPr>
                <w:lang w:val="en-US"/>
              </w:rPr>
            </w:pPr>
            <w:r w:rsidRPr="00513D37">
              <w:rPr>
                <w:lang w:val="en-US"/>
              </w:rPr>
              <w:t>Content</w:t>
            </w:r>
          </w:p>
        </w:tc>
        <w:tc>
          <w:tcPr>
            <w:tcW w:w="1263" w:type="dxa"/>
            <w:vAlign w:val="center"/>
          </w:tcPr>
          <w:p w14:paraId="2390C604" w14:textId="30420B3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 xml:space="preserve">Outcome </w:t>
            </w:r>
          </w:p>
        </w:tc>
        <w:tc>
          <w:tcPr>
            <w:tcW w:w="1274" w:type="dxa"/>
            <w:gridSpan w:val="2"/>
            <w:vAlign w:val="center"/>
          </w:tcPr>
          <w:p w14:paraId="0409471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13D37">
              <w:rPr>
                <w:lang w:val="en-US"/>
              </w:rPr>
              <w:t>umber of hours</w:t>
            </w:r>
          </w:p>
        </w:tc>
      </w:tr>
      <w:tr w:rsidR="008A56D4" w:rsidRPr="00513D37" w14:paraId="3CB4D288" w14:textId="77777777" w:rsidTr="00817D4D">
        <w:trPr>
          <w:trHeight w:val="350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37B68A0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70DA132B" w14:textId="7235C9B5" w:rsidR="008A56D4" w:rsidRPr="002455AA" w:rsidRDefault="007250CB" w:rsidP="0081770D">
            <w:pPr>
              <w:rPr>
                <w:lang w:val="en-US"/>
              </w:rPr>
            </w:pPr>
            <w:r w:rsidRPr="002455AA">
              <w:rPr>
                <w:lang w:val="en-US"/>
              </w:rPr>
              <w:t xml:space="preserve">Topic1: </w:t>
            </w:r>
            <w:r w:rsidR="0084023A" w:rsidRPr="002455AA">
              <w:rPr>
                <w:lang w:val="en-US"/>
              </w:rPr>
              <w:t xml:space="preserve">Social psychology and migration 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791E56A6" w14:textId="6BA8B908" w:rsidR="008A56D4" w:rsidRPr="002455AA" w:rsidRDefault="00817D4D" w:rsidP="0081770D">
            <w:pPr>
              <w:jc w:val="center"/>
            </w:pPr>
            <w:r w:rsidRPr="002455AA">
              <w:t>01, 02</w:t>
            </w:r>
            <w:r w:rsidR="0084023A" w:rsidRPr="002455AA">
              <w:t>, 03</w:t>
            </w: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BEF0C3A" w14:textId="788D4EF5" w:rsidR="008A56D4" w:rsidRPr="002455AA" w:rsidRDefault="00A416A7" w:rsidP="0081770D">
            <w:pPr>
              <w:jc w:val="center"/>
              <w:rPr>
                <w:lang w:val="en-US"/>
              </w:rPr>
            </w:pPr>
            <w:r w:rsidRPr="002455AA">
              <w:rPr>
                <w:lang w:val="en-US"/>
              </w:rPr>
              <w:t>30</w:t>
            </w:r>
          </w:p>
        </w:tc>
      </w:tr>
      <w:tr w:rsidR="008A56D4" w:rsidRPr="00513D37" w14:paraId="07662A0E" w14:textId="77777777" w:rsidTr="00817D4D">
        <w:trPr>
          <w:trHeight w:val="441"/>
        </w:trPr>
        <w:tc>
          <w:tcPr>
            <w:tcW w:w="562" w:type="dxa"/>
            <w:shd w:val="clear" w:color="auto" w:fill="EAF1DD" w:themeFill="accent3" w:themeFillTint="33"/>
            <w:vAlign w:val="center"/>
          </w:tcPr>
          <w:p w14:paraId="7FFD6D7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85E5C8E" w14:textId="284CA084" w:rsidR="008A56D4" w:rsidRPr="002455AA" w:rsidRDefault="0084023A" w:rsidP="00817D4D">
            <w:pPr>
              <w:rPr>
                <w:lang w:val="en-US"/>
              </w:rPr>
            </w:pPr>
            <w:r w:rsidRPr="002455AA">
              <w:rPr>
                <w:lang w:val="en-US"/>
              </w:rPr>
              <w:t xml:space="preserve">Topic 2: </w:t>
            </w:r>
            <w:r w:rsidR="00031E8D" w:rsidRPr="002455AA">
              <w:rPr>
                <w:lang w:val="en-US"/>
              </w:rPr>
              <w:t xml:space="preserve">Acculturation processes, migration and mental health 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17118F14" w14:textId="057CBF95" w:rsidR="008A56D4" w:rsidRPr="002455AA" w:rsidRDefault="00376422" w:rsidP="0081770D">
            <w:pPr>
              <w:jc w:val="center"/>
            </w:pPr>
            <w:r w:rsidRPr="002455AA">
              <w:t>03, 04, 05</w:t>
            </w: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7AA9D6D" w14:textId="2BCC25E4" w:rsidR="008A56D4" w:rsidRPr="002455AA" w:rsidRDefault="00A416A7" w:rsidP="0081770D">
            <w:pPr>
              <w:jc w:val="center"/>
              <w:rPr>
                <w:lang w:val="en-US"/>
              </w:rPr>
            </w:pPr>
            <w:r w:rsidRPr="002455AA">
              <w:rPr>
                <w:lang w:val="en-US"/>
              </w:rPr>
              <w:t>30</w:t>
            </w:r>
          </w:p>
        </w:tc>
      </w:tr>
      <w:tr w:rsidR="008A56D4" w:rsidRPr="00513D37" w14:paraId="76D6ABE6" w14:textId="77777777" w:rsidTr="59EA390A">
        <w:trPr>
          <w:trHeight w:val="316"/>
        </w:trPr>
        <w:tc>
          <w:tcPr>
            <w:tcW w:w="9053" w:type="dxa"/>
            <w:gridSpan w:val="9"/>
            <w:shd w:val="clear" w:color="auto" w:fill="DDDDDD"/>
            <w:vAlign w:val="center"/>
          </w:tcPr>
          <w:p w14:paraId="0F17CBBE" w14:textId="77777777" w:rsidR="008A56D4" w:rsidRPr="0009343F" w:rsidRDefault="008A56D4" w:rsidP="0081770D">
            <w:pPr>
              <w:jc w:val="right"/>
              <w:rPr>
                <w:b/>
                <w:lang w:val="en-US"/>
              </w:rPr>
            </w:pPr>
            <w:r w:rsidRPr="0009343F">
              <w:rPr>
                <w:b/>
                <w:lang w:val="en-US"/>
              </w:rPr>
              <w:t xml:space="preserve">Total: </w:t>
            </w:r>
          </w:p>
        </w:tc>
        <w:tc>
          <w:tcPr>
            <w:tcW w:w="1274" w:type="dxa"/>
            <w:gridSpan w:val="2"/>
            <w:shd w:val="clear" w:color="auto" w:fill="DDDDDD"/>
            <w:vAlign w:val="center"/>
          </w:tcPr>
          <w:p w14:paraId="1EEFF6AA" w14:textId="2351AA7B" w:rsidR="008A56D4" w:rsidRPr="0009343F" w:rsidRDefault="00A416A7" w:rsidP="0081770D">
            <w:pPr>
              <w:jc w:val="center"/>
              <w:rPr>
                <w:lang w:val="en-US"/>
              </w:rPr>
            </w:pPr>
            <w:r w:rsidRPr="0009343F">
              <w:rPr>
                <w:lang w:val="en-US"/>
              </w:rPr>
              <w:t>60</w:t>
            </w:r>
          </w:p>
        </w:tc>
      </w:tr>
      <w:tr w:rsidR="008A56D4" w:rsidRPr="004601FD" w14:paraId="66C38376" w14:textId="77777777" w:rsidTr="59EA390A"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48D9616" w14:textId="4229363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4</w:t>
            </w:r>
            <w:r w:rsidR="008A56D4" w:rsidRPr="004601FD">
              <w:rPr>
                <w:color w:val="FFFFFF"/>
                <w:lang w:val="en-US"/>
              </w:rPr>
              <w:t xml:space="preserve">. Teaching methods: </w:t>
            </w:r>
          </w:p>
        </w:tc>
      </w:tr>
      <w:tr w:rsidR="008A56D4" w:rsidRPr="00B35D5E" w14:paraId="437CBF59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2D0ED9E2" w14:textId="1E88E2FE" w:rsidR="00817D4D" w:rsidRPr="00DB3E85" w:rsidRDefault="00140521" w:rsidP="00817D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Online </w:t>
            </w:r>
            <w:r w:rsidR="00E51C83">
              <w:rPr>
                <w:lang w:val="en-US"/>
              </w:rPr>
              <w:t xml:space="preserve">lectures, </w:t>
            </w:r>
            <w:r w:rsidR="0000421C">
              <w:rPr>
                <w:lang w:val="en-US"/>
              </w:rPr>
              <w:t xml:space="preserve">videos on key theories, case studies, </w:t>
            </w:r>
            <w:r w:rsidR="007E60B9">
              <w:rPr>
                <w:lang w:val="en-US"/>
              </w:rPr>
              <w:t xml:space="preserve">forum discussions, individual reading, </w:t>
            </w:r>
            <w:proofErr w:type="gramStart"/>
            <w:r w:rsidR="0065547E">
              <w:rPr>
                <w:lang w:val="en-US"/>
              </w:rPr>
              <w:t>team</w:t>
            </w:r>
            <w:r w:rsidR="000867D0">
              <w:rPr>
                <w:lang w:val="en-US"/>
              </w:rPr>
              <w:t>-</w:t>
            </w:r>
            <w:r w:rsidR="0065547E">
              <w:rPr>
                <w:lang w:val="en-US"/>
              </w:rPr>
              <w:t>work</w:t>
            </w:r>
            <w:proofErr w:type="gramEnd"/>
            <w:r w:rsidR="000867D0">
              <w:rPr>
                <w:lang w:val="en-US"/>
              </w:rPr>
              <w:t>, quizzes</w:t>
            </w:r>
            <w:r w:rsidR="0065547E">
              <w:rPr>
                <w:lang w:val="en-US"/>
              </w:rPr>
              <w:t xml:space="preserve">. </w:t>
            </w:r>
          </w:p>
          <w:p w14:paraId="75972BEB" w14:textId="1871AC09" w:rsidR="008A56D4" w:rsidRPr="00513D37" w:rsidRDefault="008A56D4" w:rsidP="0081770D">
            <w:pPr>
              <w:rPr>
                <w:lang w:val="en-US"/>
              </w:rPr>
            </w:pPr>
          </w:p>
        </w:tc>
      </w:tr>
      <w:tr w:rsidR="008A56D4" w:rsidRPr="00B35D5E" w14:paraId="6AAF330E" w14:textId="77777777" w:rsidTr="59EA390A">
        <w:trPr>
          <w:trHeight w:val="18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3C57F3E" w14:textId="55A2C924" w:rsidR="008A56D4" w:rsidRPr="00A416A7" w:rsidRDefault="00843747" w:rsidP="0081770D">
            <w:pPr>
              <w:rPr>
                <w:color w:val="FFFFFF"/>
                <w:lang w:val="en-US"/>
              </w:rPr>
            </w:pPr>
            <w:r w:rsidRPr="00A416A7">
              <w:rPr>
                <w:color w:val="FFFFFF"/>
                <w:lang w:val="en-US"/>
              </w:rPr>
              <w:t>5</w:t>
            </w:r>
            <w:r w:rsidR="008A56D4" w:rsidRPr="00A416A7">
              <w:rPr>
                <w:color w:val="FFFFFF"/>
                <w:lang w:val="en-US"/>
              </w:rPr>
              <w:t>. Individual activity of a student:</w:t>
            </w:r>
          </w:p>
        </w:tc>
      </w:tr>
      <w:tr w:rsidR="008A56D4" w:rsidRPr="00B35D5E" w14:paraId="53FC2586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5E468F81" w14:textId="00B739F3" w:rsidR="008A56D4" w:rsidRPr="00A416A7" w:rsidRDefault="008A56D4" w:rsidP="0081770D">
            <w:pPr>
              <w:rPr>
                <w:lang w:val="en-US"/>
              </w:rPr>
            </w:pPr>
            <w:r w:rsidRPr="00A416A7">
              <w:rPr>
                <w:lang w:val="en-US"/>
              </w:rPr>
              <w:lastRenderedPageBreak/>
              <w:t>Studying lectures</w:t>
            </w:r>
            <w:r w:rsidR="00A46073" w:rsidRPr="00A416A7">
              <w:rPr>
                <w:lang w:val="en-US"/>
              </w:rPr>
              <w:t xml:space="preserve"> and suggested readings, </w:t>
            </w:r>
            <w:r w:rsidR="00C14D5F" w:rsidRPr="00A416A7">
              <w:rPr>
                <w:lang w:val="en-US"/>
              </w:rPr>
              <w:t xml:space="preserve">discussion </w:t>
            </w:r>
            <w:r w:rsidRPr="00A416A7">
              <w:rPr>
                <w:lang w:val="en-US"/>
              </w:rPr>
              <w:t xml:space="preserve">at the Moodle platform, </w:t>
            </w:r>
            <w:r w:rsidR="00A416A7">
              <w:rPr>
                <w:lang w:val="en-US"/>
              </w:rPr>
              <w:t>team-working on creative collaborative project</w:t>
            </w:r>
            <w:r w:rsidRPr="00A416A7">
              <w:rPr>
                <w:lang w:val="en-US"/>
              </w:rPr>
              <w:t>, solving quizzes</w:t>
            </w:r>
            <w:r w:rsidR="00C14D5F" w:rsidRPr="00A416A7">
              <w:rPr>
                <w:lang w:val="en-US"/>
              </w:rPr>
              <w:t>.</w:t>
            </w:r>
          </w:p>
        </w:tc>
      </w:tr>
      <w:tr w:rsidR="008A56D4" w:rsidRPr="004601FD" w14:paraId="0CFFFFA1" w14:textId="77777777" w:rsidTr="59EA390A">
        <w:trPr>
          <w:trHeight w:val="159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0B386178" w14:textId="09B1EF1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6</w:t>
            </w:r>
            <w:r w:rsidR="008A56D4" w:rsidRPr="004601FD">
              <w:rPr>
                <w:color w:val="FFFFFF"/>
                <w:lang w:val="en-US"/>
              </w:rPr>
              <w:t>. Readings:</w:t>
            </w:r>
          </w:p>
        </w:tc>
      </w:tr>
      <w:tr w:rsidR="008A56D4" w:rsidRPr="00513D37" w14:paraId="4F3EACE0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65462678" w14:textId="46C4A5B5" w:rsidR="008A56D4" w:rsidRPr="00C14D5F" w:rsidRDefault="00FD3876" w:rsidP="00C14D5F">
            <w:pPr>
              <w:widowControl w:val="0"/>
              <w:numPr>
                <w:ilvl w:val="0"/>
                <w:numId w:val="5"/>
              </w:numPr>
              <w:suppressAutoHyphens/>
            </w:pPr>
            <w:r>
              <w:rPr>
                <w:lang w:val="en-GB"/>
              </w:rPr>
              <w:t>Chapter 3 of the course textbook,</w:t>
            </w:r>
            <w:r w:rsidR="00C14D5F">
              <w:t xml:space="preserve"> </w:t>
            </w:r>
            <w:r w:rsidR="00C14D5F" w:rsidRPr="00C14D5F">
              <w:rPr>
                <w:i/>
                <w:iCs/>
              </w:rPr>
              <w:t>Inclusive societies. A textbook for interdisciplinary migration studies</w:t>
            </w:r>
            <w:r>
              <w:rPr>
                <w:i/>
                <w:iCs/>
              </w:rPr>
              <w:t xml:space="preserve">, </w:t>
            </w:r>
            <w:r w:rsidRPr="00FD3876">
              <w:t>pp.</w:t>
            </w:r>
            <w:r w:rsidR="00EA042C">
              <w:t xml:space="preserve"> 59-86</w:t>
            </w:r>
            <w:r w:rsidR="00C14D5F" w:rsidRPr="00FD3876">
              <w:t>.</w:t>
            </w:r>
            <w:r w:rsidR="00B31E3A">
              <w:t xml:space="preserve"> </w:t>
            </w:r>
          </w:p>
        </w:tc>
      </w:tr>
      <w:tr w:rsidR="008A56D4" w:rsidRPr="004601FD" w14:paraId="2E24F040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27ADAB4" w14:textId="373331C1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7</w:t>
            </w:r>
            <w:r w:rsidR="008A56D4" w:rsidRPr="004601FD">
              <w:rPr>
                <w:color w:val="FFFFFF"/>
                <w:lang w:val="en-US"/>
              </w:rPr>
              <w:t xml:space="preserve">. Supplementary readings </w:t>
            </w:r>
            <w:r w:rsidR="008A56D4" w:rsidRPr="004601FD">
              <w:rPr>
                <w:bCs/>
                <w:color w:val="FFFFFF"/>
                <w:lang w:val="en-US"/>
              </w:rPr>
              <w:t>and websites</w:t>
            </w:r>
            <w:r w:rsidR="008A56D4" w:rsidRPr="004601FD">
              <w:rPr>
                <w:color w:val="FFFFFF"/>
                <w:lang w:val="en-US"/>
              </w:rPr>
              <w:t>:</w:t>
            </w:r>
          </w:p>
        </w:tc>
      </w:tr>
      <w:tr w:rsidR="008A56D4" w:rsidRPr="00513D37" w14:paraId="2125B4FB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16E2D502" w14:textId="77777777" w:rsidR="001169B6" w:rsidRPr="002455AA" w:rsidRDefault="001169B6" w:rsidP="001169B6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Week 1</w:t>
            </w:r>
          </w:p>
          <w:p w14:paraId="171275BC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Readings</w:t>
            </w:r>
          </w:p>
          <w:p w14:paraId="3A3B7621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  <w:r w:rsidRPr="002455AA">
              <w:rPr>
                <w:lang w:val="en-US"/>
              </w:rPr>
              <w:t xml:space="preserve">Berry, J. W. (2001). A psychology of immigration. </w:t>
            </w:r>
            <w:r w:rsidRPr="002455AA">
              <w:rPr>
                <w:i/>
                <w:iCs/>
                <w:lang w:val="en-US"/>
              </w:rPr>
              <w:t>Journal of Social Issues</w:t>
            </w:r>
            <w:r w:rsidRPr="002455AA">
              <w:rPr>
                <w:lang w:val="en-US"/>
              </w:rPr>
              <w:t xml:space="preserve">, </w:t>
            </w:r>
            <w:r w:rsidRPr="002455AA">
              <w:rPr>
                <w:i/>
                <w:iCs/>
                <w:lang w:val="en-US"/>
              </w:rPr>
              <w:t>57</w:t>
            </w:r>
            <w:r w:rsidRPr="002455AA">
              <w:rPr>
                <w:lang w:val="en-US"/>
              </w:rPr>
              <w:t>(3), 615-631. https://doi.org/10.1111/0022-4537.00231</w:t>
            </w:r>
          </w:p>
          <w:p w14:paraId="162F98BF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</w:p>
          <w:p w14:paraId="3B03992D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  <w:r w:rsidRPr="002455AA">
              <w:rPr>
                <w:lang w:val="en-US"/>
              </w:rPr>
              <w:t xml:space="preserve">Johnston, J. (2018). </w:t>
            </w:r>
            <w:r w:rsidRPr="002455AA">
              <w:rPr>
                <w:i/>
                <w:iCs/>
                <w:lang w:val="en-US"/>
              </w:rPr>
              <w:t xml:space="preserve">The European migrant crisis: Psychology, conflict, and intergroup relations. </w:t>
            </w:r>
            <w:r w:rsidRPr="002455AA">
              <w:rPr>
                <w:lang w:val="en-US"/>
              </w:rPr>
              <w:t xml:space="preserve">United Nations University Institute on Globalization, Culture and Mobility. </w:t>
            </w:r>
          </w:p>
          <w:p w14:paraId="14181942" w14:textId="77777777" w:rsidR="001169B6" w:rsidRPr="002455AA" w:rsidRDefault="00561CC2" w:rsidP="001169B6">
            <w:pPr>
              <w:contextualSpacing/>
              <w:rPr>
                <w:lang w:val="en-US"/>
              </w:rPr>
            </w:pPr>
            <w:hyperlink r:id="rId10" w:history="1">
              <w:r w:rsidR="001169B6" w:rsidRPr="002455AA">
                <w:rPr>
                  <w:rStyle w:val="Hyperlink"/>
                  <w:lang w:val="en-US"/>
                </w:rPr>
                <w:t>https://gcm.unu.edu/publications/policy-reports/the-european-migrant-crisis-psychology-conflict-and-intergroup-relations.html</w:t>
              </w:r>
            </w:hyperlink>
          </w:p>
          <w:p w14:paraId="7B8DBE82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</w:p>
          <w:p w14:paraId="07D270A6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Videos</w:t>
            </w:r>
          </w:p>
          <w:p w14:paraId="2F3847AE" w14:textId="6CEE4B24" w:rsidR="001169B6" w:rsidRPr="002455AA" w:rsidRDefault="00561CC2" w:rsidP="001169B6">
            <w:pPr>
              <w:contextualSpacing/>
              <w:rPr>
                <w:shd w:val="clear" w:color="auto" w:fill="FFFFFF"/>
                <w:lang w:val="en-US"/>
              </w:rPr>
            </w:pPr>
            <w:hyperlink r:id="rId11" w:history="1">
              <w:r w:rsidR="001169B6" w:rsidRPr="002455AA">
                <w:rPr>
                  <w:shd w:val="clear" w:color="auto" w:fill="FFFFFF"/>
                  <w:lang w:val="en-US"/>
                </w:rPr>
                <w:t>Professor Ross</w:t>
              </w:r>
            </w:hyperlink>
            <w:r w:rsidR="001169B6" w:rsidRPr="002455AA">
              <w:rPr>
                <w:shd w:val="clear" w:color="auto" w:fill="FFFFFF"/>
                <w:lang w:val="en-US"/>
              </w:rPr>
              <w:t xml:space="preserve">. (2017, March 28). </w:t>
            </w:r>
            <w:r w:rsidR="001169B6" w:rsidRPr="002455AA">
              <w:rPr>
                <w:i/>
                <w:iCs/>
                <w:shd w:val="clear" w:color="auto" w:fill="FFFFFF"/>
                <w:lang w:val="en-US"/>
              </w:rPr>
              <w:t>60 minutes- ingroup bias in babies</w:t>
            </w:r>
            <w:r w:rsidR="001169B6" w:rsidRPr="002455AA">
              <w:rPr>
                <w:shd w:val="clear" w:color="auto" w:fill="FFFFFF"/>
                <w:lang w:val="en-US"/>
              </w:rPr>
              <w:t>.</w:t>
            </w:r>
            <w:r w:rsidR="0009343F" w:rsidRPr="008C40FE">
              <w:rPr>
                <w:shd w:val="clear" w:color="auto" w:fill="FFFFFF"/>
                <w:lang w:val="en-US"/>
              </w:rPr>
              <w:t xml:space="preserve"> [Video]. YouTube.</w:t>
            </w:r>
          </w:p>
          <w:p w14:paraId="1D229A9B" w14:textId="77777777" w:rsidR="001169B6" w:rsidRPr="002455AA" w:rsidRDefault="001169B6" w:rsidP="001169B6">
            <w:pPr>
              <w:contextualSpacing/>
              <w:rPr>
                <w:shd w:val="clear" w:color="auto" w:fill="FFFFFF"/>
                <w:lang w:val="en-US"/>
              </w:rPr>
            </w:pPr>
            <w:r w:rsidRPr="002455AA">
              <w:rPr>
                <w:shd w:val="clear" w:color="auto" w:fill="FFFFFF"/>
                <w:lang w:val="en-US"/>
              </w:rPr>
              <w:t xml:space="preserve"> </w:t>
            </w:r>
            <w:hyperlink r:id="rId12" w:history="1">
              <w:r w:rsidRPr="002455AA">
                <w:rPr>
                  <w:rStyle w:val="Hyperlink"/>
                  <w:shd w:val="clear" w:color="auto" w:fill="FFFFFF"/>
                  <w:lang w:val="en-US"/>
                </w:rPr>
                <w:t>https://www.youtube.com/watch?v=851_21Euh6c</w:t>
              </w:r>
            </w:hyperlink>
            <w:r w:rsidRPr="002455AA">
              <w:rPr>
                <w:shd w:val="clear" w:color="auto" w:fill="FFFFFF"/>
                <w:lang w:val="en-US"/>
              </w:rPr>
              <w:t xml:space="preserve"> (3:36 minutes)</w:t>
            </w:r>
          </w:p>
          <w:p w14:paraId="5391EF38" w14:textId="77777777" w:rsidR="001169B6" w:rsidRPr="002455AA" w:rsidRDefault="001169B6" w:rsidP="001169B6">
            <w:pPr>
              <w:contextualSpacing/>
              <w:rPr>
                <w:shd w:val="clear" w:color="auto" w:fill="FFFFFF"/>
                <w:lang w:val="en-US"/>
              </w:rPr>
            </w:pPr>
          </w:p>
          <w:p w14:paraId="2093190D" w14:textId="0CC5A243" w:rsidR="001169B6" w:rsidRPr="002455AA" w:rsidRDefault="001169B6" w:rsidP="001169B6">
            <w:pPr>
              <w:contextualSpacing/>
            </w:pPr>
            <w:r w:rsidRPr="002455AA">
              <w:rPr>
                <w:shd w:val="clear" w:color="auto" w:fill="FFFFFF"/>
                <w:lang w:val="en-US"/>
              </w:rPr>
              <w:t xml:space="preserve">CCHP UA. (2015, September 25). </w:t>
            </w:r>
            <w:proofErr w:type="gramStart"/>
            <w:r w:rsidRPr="002455AA">
              <w:rPr>
                <w:i/>
                <w:iCs/>
                <w:shd w:val="clear" w:color="auto" w:fill="FFFFFF"/>
                <w:lang w:val="en-US"/>
              </w:rPr>
              <w:t>5 minute</w:t>
            </w:r>
            <w:proofErr w:type="gramEnd"/>
            <w:r w:rsidRPr="002455AA">
              <w:rPr>
                <w:i/>
                <w:iCs/>
                <w:shd w:val="clear" w:color="auto" w:fill="FFFFFF"/>
                <w:lang w:val="en-US"/>
              </w:rPr>
              <w:t xml:space="preserve"> history lesson, episode 3: Robbers Cave</w:t>
            </w:r>
            <w:r w:rsidRPr="002455AA">
              <w:rPr>
                <w:shd w:val="clear" w:color="auto" w:fill="FFFFFF"/>
                <w:lang w:val="en-US"/>
              </w:rPr>
              <w:t xml:space="preserve">. </w:t>
            </w:r>
            <w:r w:rsidR="0009343F" w:rsidRPr="008C40FE">
              <w:rPr>
                <w:shd w:val="clear" w:color="auto" w:fill="FFFFFF"/>
                <w:lang w:val="en-US"/>
              </w:rPr>
              <w:t>[Video]. YouTube.</w:t>
            </w:r>
            <w:r w:rsidR="0009343F" w:rsidRPr="008C40FE">
              <w:rPr>
                <w:lang w:val="en-US"/>
              </w:rPr>
              <w:t xml:space="preserve"> </w:t>
            </w:r>
            <w:hyperlink r:id="rId13" w:history="1">
              <w:r w:rsidRPr="002455AA">
                <w:rPr>
                  <w:rStyle w:val="Hyperlink"/>
                </w:rPr>
                <w:t>https://www.youtube.com/watch?v=8PRuxMprSDQ&amp;feature=youtu.be</w:t>
              </w:r>
            </w:hyperlink>
            <w:r w:rsidRPr="002455AA">
              <w:rPr>
                <w:rStyle w:val="Hyperlink"/>
              </w:rPr>
              <w:t xml:space="preserve">   </w:t>
            </w:r>
          </w:p>
          <w:p w14:paraId="4634DC2B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  <w:r w:rsidRPr="002455AA">
              <w:rPr>
                <w:rStyle w:val="Hyperlink"/>
                <w:lang w:val="en-US"/>
              </w:rPr>
              <w:t xml:space="preserve">(5 minutes) </w:t>
            </w:r>
          </w:p>
          <w:p w14:paraId="74EF2C4B" w14:textId="77777777" w:rsidR="001169B6" w:rsidRPr="002455AA" w:rsidRDefault="001169B6" w:rsidP="001169B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86E923C" w14:textId="77777777" w:rsidR="001169B6" w:rsidRPr="002455AA" w:rsidRDefault="001169B6" w:rsidP="001169B6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Week 2</w:t>
            </w:r>
          </w:p>
          <w:p w14:paraId="04ECDFFE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Readings</w:t>
            </w:r>
          </w:p>
          <w:p w14:paraId="0E59BEBC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  <w:r w:rsidRPr="002455AA">
              <w:rPr>
                <w:lang w:val="en-US"/>
              </w:rPr>
              <w:t xml:space="preserve">Somasundaram, D. (2010). Complex mental health problems of refugees. In D. </w:t>
            </w:r>
            <w:proofErr w:type="spellStart"/>
            <w:r w:rsidRPr="002455AA">
              <w:rPr>
                <w:lang w:val="en-US"/>
              </w:rPr>
              <w:t>Bhugra</w:t>
            </w:r>
            <w:proofErr w:type="spellEnd"/>
            <w:r w:rsidRPr="002455AA">
              <w:rPr>
                <w:lang w:val="en-US"/>
              </w:rPr>
              <w:t xml:space="preserve">, T. Craig &amp; K. </w:t>
            </w:r>
            <w:proofErr w:type="spellStart"/>
            <w:r w:rsidRPr="002455AA">
              <w:rPr>
                <w:lang w:val="en-US"/>
              </w:rPr>
              <w:t>Bhui</w:t>
            </w:r>
            <w:proofErr w:type="spellEnd"/>
            <w:r w:rsidRPr="002455AA">
              <w:rPr>
                <w:lang w:val="en-US"/>
              </w:rPr>
              <w:t xml:space="preserve">, K. (Eds.), </w:t>
            </w:r>
            <w:r w:rsidRPr="002455AA">
              <w:rPr>
                <w:i/>
                <w:iCs/>
                <w:lang w:val="en-US"/>
              </w:rPr>
              <w:t>Mental health of refugees and asylum seekers</w:t>
            </w:r>
            <w:r w:rsidRPr="002455AA">
              <w:rPr>
                <w:lang w:val="en-US"/>
              </w:rPr>
              <w:t xml:space="preserve"> (online chapter 6). Oxford University Press.  </w:t>
            </w:r>
            <w:proofErr w:type="spellStart"/>
            <w:r w:rsidRPr="002455AA">
              <w:rPr>
                <w:lang w:val="en-US"/>
              </w:rPr>
              <w:t>doi</w:t>
            </w:r>
            <w:proofErr w:type="spellEnd"/>
            <w:r w:rsidRPr="002455AA">
              <w:rPr>
                <w:lang w:val="en-US"/>
              </w:rPr>
              <w:t>: 10.1093/med/9780199557226.001.0001</w:t>
            </w:r>
          </w:p>
          <w:p w14:paraId="23F6F343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</w:p>
          <w:p w14:paraId="53DF1752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  <w:r w:rsidRPr="002455AA">
              <w:rPr>
                <w:lang w:val="en-US"/>
              </w:rPr>
              <w:t xml:space="preserve">United Nations High Commissioner for Refugees (UNHCR). (2002). Chapter 3.1. Planning for optimal mental health: Responding to refugee-related trauma. In United Nations High Commissioner for Refugees (UNHCR), </w:t>
            </w:r>
            <w:r w:rsidRPr="002455AA">
              <w:rPr>
                <w:i/>
                <w:iCs/>
                <w:lang w:val="en-US"/>
              </w:rPr>
              <w:t>Refugee resettlement: An International handbook to guide reception and integration</w:t>
            </w:r>
            <w:r w:rsidRPr="002455AA">
              <w:rPr>
                <w:lang w:val="en-US"/>
              </w:rPr>
              <w:t xml:space="preserve"> (pp. 231-244).  </w:t>
            </w:r>
            <w:hyperlink r:id="rId14" w:history="1">
              <w:r w:rsidRPr="002455AA">
                <w:rPr>
                  <w:rStyle w:val="Hyperlink"/>
                  <w:lang w:val="en-US"/>
                </w:rPr>
                <w:t>https://www.unhcr.org/3d98623a4.html</w:t>
              </w:r>
            </w:hyperlink>
            <w:r w:rsidRPr="002455AA">
              <w:rPr>
                <w:lang w:val="en-US"/>
              </w:rPr>
              <w:t xml:space="preserve"> </w:t>
            </w:r>
          </w:p>
          <w:p w14:paraId="308E97A8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</w:p>
          <w:p w14:paraId="695CCCF7" w14:textId="77777777" w:rsidR="001169B6" w:rsidRPr="002455AA" w:rsidRDefault="001169B6" w:rsidP="001169B6">
            <w:pPr>
              <w:contextualSpacing/>
              <w:rPr>
                <w:b/>
                <w:bCs/>
                <w:lang w:val="en-US"/>
              </w:rPr>
            </w:pPr>
            <w:r w:rsidRPr="002455AA">
              <w:rPr>
                <w:b/>
                <w:bCs/>
                <w:lang w:val="en-US"/>
              </w:rPr>
              <w:t>Videos</w:t>
            </w:r>
          </w:p>
          <w:p w14:paraId="282FFDC4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  <w:r w:rsidRPr="002455AA">
              <w:rPr>
                <w:shd w:val="clear" w:color="auto" w:fill="FFFFFF"/>
                <w:lang w:val="en-US"/>
              </w:rPr>
              <w:t>National Geographic. (2018, June 24). </w:t>
            </w:r>
            <w:r w:rsidRPr="002455AA">
              <w:rPr>
                <w:rStyle w:val="Emphasis"/>
                <w:shd w:val="clear" w:color="auto" w:fill="FFFFFF"/>
                <w:lang w:val="en-US"/>
              </w:rPr>
              <w:t xml:space="preserve">Reshaping the trauma of refugee children in Lesbos | National Geographic </w:t>
            </w:r>
            <w:r w:rsidRPr="002455AA">
              <w:rPr>
                <w:shd w:val="clear" w:color="auto" w:fill="FFFFFF"/>
                <w:lang w:val="en-US"/>
              </w:rPr>
              <w:t>[Video]. YouTube.</w:t>
            </w:r>
            <w:r w:rsidRPr="002455AA">
              <w:rPr>
                <w:lang w:val="en-US"/>
              </w:rPr>
              <w:t xml:space="preserve"> </w:t>
            </w:r>
            <w:hyperlink r:id="rId15" w:history="1">
              <w:r w:rsidRPr="002455AA">
                <w:rPr>
                  <w:rStyle w:val="Hyperlink"/>
                  <w:lang w:val="en-US"/>
                </w:rPr>
                <w:t>https://www.youtube.com/watch?v=V6lVZ569wsk</w:t>
              </w:r>
            </w:hyperlink>
            <w:r w:rsidRPr="002455AA">
              <w:rPr>
                <w:lang w:val="en-US"/>
              </w:rPr>
              <w:t xml:space="preserve"> (8 minutes)</w:t>
            </w:r>
          </w:p>
          <w:p w14:paraId="54272078" w14:textId="77777777" w:rsidR="001169B6" w:rsidRPr="002455AA" w:rsidRDefault="001169B6" w:rsidP="001169B6">
            <w:pPr>
              <w:contextualSpacing/>
              <w:rPr>
                <w:lang w:val="en-US"/>
              </w:rPr>
            </w:pPr>
          </w:p>
          <w:p w14:paraId="7C157461" w14:textId="77777777" w:rsidR="001169B6" w:rsidRPr="002455AA" w:rsidRDefault="001169B6" w:rsidP="001169B6">
            <w:pPr>
              <w:contextualSpacing/>
              <w:rPr>
                <w:shd w:val="clear" w:color="auto" w:fill="FFFFFF"/>
                <w:lang w:val="en-GB"/>
              </w:rPr>
            </w:pPr>
            <w:r w:rsidRPr="002455AA">
              <w:rPr>
                <w:shd w:val="clear" w:color="auto" w:fill="FFFFFF"/>
                <w:lang w:val="en-US"/>
              </w:rPr>
              <w:t>TEDx Talks. (2014, September 26). </w:t>
            </w:r>
            <w:r w:rsidRPr="002455AA">
              <w:rPr>
                <w:rStyle w:val="Emphasis"/>
                <w:shd w:val="clear" w:color="auto" w:fill="FFFFFF"/>
                <w:lang w:val="en-US"/>
              </w:rPr>
              <w:t xml:space="preserve">A personal story of the Syrian conflict | </w:t>
            </w:r>
            <w:proofErr w:type="spellStart"/>
            <w:r w:rsidRPr="002455AA">
              <w:rPr>
                <w:rStyle w:val="Emphasis"/>
                <w:shd w:val="clear" w:color="auto" w:fill="FFFFFF"/>
                <w:lang w:val="en-US"/>
              </w:rPr>
              <w:t>Riad</w:t>
            </w:r>
            <w:proofErr w:type="spellEnd"/>
            <w:r w:rsidRPr="002455AA">
              <w:rPr>
                <w:rStyle w:val="Emphasis"/>
                <w:shd w:val="clear" w:color="auto" w:fill="FFFFFF"/>
                <w:lang w:val="en-US"/>
              </w:rPr>
              <w:t xml:space="preserve"> | </w:t>
            </w:r>
            <w:proofErr w:type="spellStart"/>
            <w:r w:rsidRPr="002455AA">
              <w:rPr>
                <w:rStyle w:val="Emphasis"/>
                <w:shd w:val="clear" w:color="auto" w:fill="FFFFFF"/>
                <w:lang w:val="en-US"/>
              </w:rPr>
              <w:t>TEDxCollegeOfEurope</w:t>
            </w:r>
            <w:proofErr w:type="spellEnd"/>
            <w:r w:rsidRPr="002455AA">
              <w:rPr>
                <w:rStyle w:val="Emphasis"/>
                <w:shd w:val="clear" w:color="auto" w:fill="FFFFFF"/>
                <w:lang w:val="en-US"/>
              </w:rPr>
              <w:t xml:space="preserve"> </w:t>
            </w:r>
            <w:r w:rsidRPr="002455AA">
              <w:rPr>
                <w:shd w:val="clear" w:color="auto" w:fill="FFFFFF"/>
                <w:lang w:val="en-US"/>
              </w:rPr>
              <w:t>[Video]. YouTube.</w:t>
            </w:r>
            <w:r w:rsidRPr="002455AA">
              <w:rPr>
                <w:lang w:val="en-US"/>
              </w:rPr>
              <w:t xml:space="preserve"> </w:t>
            </w:r>
            <w:hyperlink r:id="rId16" w:history="1">
              <w:r w:rsidRPr="002455AA">
                <w:rPr>
                  <w:rStyle w:val="Hyperlink"/>
                </w:rPr>
                <w:t>https://www.youtube.com/watch?v=OIYvfi9bd-I</w:t>
              </w:r>
            </w:hyperlink>
            <w:r w:rsidRPr="002455AA">
              <w:rPr>
                <w:lang w:val="en-GB"/>
              </w:rPr>
              <w:t xml:space="preserve"> (10 minutes)</w:t>
            </w:r>
          </w:p>
          <w:p w14:paraId="56C365D0" w14:textId="1E3FAB68" w:rsidR="001169B6" w:rsidRPr="002455AA" w:rsidRDefault="001169B6" w:rsidP="001169B6">
            <w:pPr>
              <w:contextualSpacing/>
              <w:rPr>
                <w:lang w:val="en-US"/>
              </w:rPr>
            </w:pPr>
          </w:p>
        </w:tc>
      </w:tr>
      <w:tr w:rsidR="008A56D4" w:rsidRPr="00B35D5E" w14:paraId="1EB9F2D3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E9CC18C" w14:textId="5BB8A64E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8</w:t>
            </w:r>
            <w:r w:rsidR="008A56D4" w:rsidRPr="004601FD">
              <w:rPr>
                <w:color w:val="FFFFFF"/>
                <w:lang w:val="en-US"/>
              </w:rPr>
              <w:t>. Assessment requirements and grading system:</w:t>
            </w:r>
          </w:p>
        </w:tc>
      </w:tr>
      <w:tr w:rsidR="008A56D4" w:rsidRPr="00513D37" w14:paraId="39E01D26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06F1ADC8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The following elements constitute </w:t>
            </w:r>
            <w:r w:rsidRPr="00395379">
              <w:rPr>
                <w:b/>
                <w:lang w:val="en-US"/>
              </w:rPr>
              <w:t>total score (100 points)</w:t>
            </w:r>
            <w:r>
              <w:rPr>
                <w:lang w:val="en-US"/>
              </w:rPr>
              <w:t>:</w:t>
            </w:r>
          </w:p>
          <w:p w14:paraId="7F779053" w14:textId="690E3679" w:rsidR="00505FCF" w:rsidRPr="00D35455" w:rsidRDefault="00505FCF" w:rsidP="00505FCF">
            <w:pPr>
              <w:pStyle w:val="FootnoteText"/>
              <w:numPr>
                <w:ilvl w:val="0"/>
                <w:numId w:val="2"/>
              </w:numPr>
              <w:rPr>
                <w:lang w:val="en-US"/>
              </w:rPr>
            </w:pPr>
            <w:r w:rsidRPr="00D35455">
              <w:rPr>
                <w:lang w:val="en-US"/>
              </w:rPr>
              <w:t>quizzes total:</w:t>
            </w:r>
            <w:r w:rsidRPr="00D35455">
              <w:t xml:space="preserve"> </w:t>
            </w:r>
            <w:r w:rsidR="001B6E99" w:rsidRPr="00D35455">
              <w:t>30</w:t>
            </w:r>
            <w:r w:rsidRPr="00D35455">
              <w:t xml:space="preserve"> points</w:t>
            </w:r>
          </w:p>
          <w:p w14:paraId="28E8CE71" w14:textId="2ABBA42E" w:rsidR="00505FCF" w:rsidRPr="00D35455" w:rsidRDefault="00505FCF" w:rsidP="00505FCF">
            <w:pPr>
              <w:pStyle w:val="FootnoteText"/>
              <w:numPr>
                <w:ilvl w:val="0"/>
                <w:numId w:val="2"/>
              </w:numPr>
              <w:rPr>
                <w:lang w:val="en-US"/>
              </w:rPr>
            </w:pPr>
            <w:r w:rsidRPr="00D35455">
              <w:rPr>
                <w:lang w:val="en-US"/>
              </w:rPr>
              <w:t xml:space="preserve">discussion: </w:t>
            </w:r>
            <w:r w:rsidR="001B6E99" w:rsidRPr="00D35455">
              <w:rPr>
                <w:lang w:val="en-US"/>
              </w:rPr>
              <w:t>30</w:t>
            </w:r>
            <w:r w:rsidRPr="00D35455">
              <w:rPr>
                <w:lang w:val="en-US"/>
              </w:rPr>
              <w:t xml:space="preserve"> points</w:t>
            </w:r>
          </w:p>
          <w:p w14:paraId="113466A4" w14:textId="77777777" w:rsidR="00505FCF" w:rsidRPr="00D35455" w:rsidRDefault="00505FCF" w:rsidP="00505FCF">
            <w:pPr>
              <w:pStyle w:val="FootnoteText"/>
              <w:numPr>
                <w:ilvl w:val="0"/>
                <w:numId w:val="2"/>
              </w:numPr>
              <w:rPr>
                <w:lang w:val="en-US"/>
              </w:rPr>
            </w:pPr>
            <w:r w:rsidRPr="00D35455">
              <w:rPr>
                <w:lang w:val="en-US"/>
              </w:rPr>
              <w:t>group project:</w:t>
            </w:r>
            <w:r w:rsidRPr="00D35455">
              <w:rPr>
                <w:lang w:val="en-GB"/>
              </w:rPr>
              <w:t xml:space="preserve"> 40 points</w:t>
            </w:r>
          </w:p>
          <w:p w14:paraId="2CEA2C27" w14:textId="77777777" w:rsidR="008A56D4" w:rsidRDefault="008A56D4" w:rsidP="0081770D">
            <w:pPr>
              <w:pStyle w:val="FootnoteText"/>
              <w:rPr>
                <w:lang w:val="en-US"/>
              </w:rPr>
            </w:pPr>
          </w:p>
          <w:p w14:paraId="2EAC8E3D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 w:rsidRPr="0080617E">
              <w:rPr>
                <w:lang w:val="en-US"/>
              </w:rPr>
              <w:t xml:space="preserve">Grading system </w:t>
            </w:r>
          </w:p>
          <w:p w14:paraId="2CD98B3C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         Points           Grade</w:t>
            </w:r>
          </w:p>
          <w:tbl>
            <w:tblPr>
              <w:tblW w:w="579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06"/>
              <w:gridCol w:w="567"/>
              <w:gridCol w:w="4394"/>
            </w:tblGrid>
            <w:tr w:rsidR="008A56D4" w:rsidRPr="002853AF" w14:paraId="2CBD64F4" w14:textId="77777777" w:rsidTr="0081770D">
              <w:tc>
                <w:tcPr>
                  <w:tcW w:w="525" w:type="dxa"/>
                  <w:shd w:val="clear" w:color="auto" w:fill="auto"/>
                </w:tcPr>
                <w:p w14:paraId="30BF44C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4BF5BAB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C2C77E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0FFB48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Fail (2)</w:t>
                  </w:r>
                </w:p>
              </w:tc>
            </w:tr>
            <w:tr w:rsidR="008A56D4" w:rsidRPr="002853AF" w14:paraId="2D2BBB03" w14:textId="77777777" w:rsidTr="0081770D">
              <w:tc>
                <w:tcPr>
                  <w:tcW w:w="525" w:type="dxa"/>
                  <w:shd w:val="clear" w:color="auto" w:fill="auto"/>
                </w:tcPr>
                <w:p w14:paraId="78D6AA2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5E4B496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94BD228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CCA04E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Satisfactory (3)</w:t>
                  </w:r>
                </w:p>
              </w:tc>
            </w:tr>
            <w:tr w:rsidR="008A56D4" w:rsidRPr="00B35D5E" w14:paraId="77700F1D" w14:textId="77777777" w:rsidTr="0081770D">
              <w:tc>
                <w:tcPr>
                  <w:tcW w:w="525" w:type="dxa"/>
                  <w:shd w:val="clear" w:color="auto" w:fill="auto"/>
                </w:tcPr>
                <w:p w14:paraId="01B21D70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91FFFC5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A3F73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0EBB9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More than satisfactory but less than good  (3+)</w:t>
                  </w:r>
                </w:p>
              </w:tc>
            </w:tr>
            <w:tr w:rsidR="008A56D4" w:rsidRPr="002853AF" w14:paraId="7AD26962" w14:textId="77777777" w:rsidTr="0081770D">
              <w:tc>
                <w:tcPr>
                  <w:tcW w:w="525" w:type="dxa"/>
                  <w:shd w:val="clear" w:color="auto" w:fill="auto"/>
                </w:tcPr>
                <w:p w14:paraId="2100D5E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81BD1D2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E4D2E46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1F4E3C3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Good  (4)</w:t>
                  </w:r>
                </w:p>
              </w:tc>
            </w:tr>
            <w:tr w:rsidR="008A56D4" w:rsidRPr="002853AF" w14:paraId="7F0D4881" w14:textId="77777777" w:rsidTr="0081770D">
              <w:tc>
                <w:tcPr>
                  <w:tcW w:w="525" w:type="dxa"/>
                  <w:shd w:val="clear" w:color="auto" w:fill="auto"/>
                </w:tcPr>
                <w:p w14:paraId="7521C19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B0DD5B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CBB48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DDA697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Very good (4+)</w:t>
                  </w:r>
                </w:p>
              </w:tc>
            </w:tr>
            <w:tr w:rsidR="008A56D4" w:rsidRPr="002853AF" w14:paraId="1AF7A65B" w14:textId="77777777" w:rsidTr="0081770D">
              <w:tc>
                <w:tcPr>
                  <w:tcW w:w="525" w:type="dxa"/>
                  <w:shd w:val="clear" w:color="auto" w:fill="auto"/>
                </w:tcPr>
                <w:p w14:paraId="3BA37F3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0A55231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304B0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ABC0AC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Excellent  (5)</w:t>
                  </w:r>
                </w:p>
              </w:tc>
            </w:tr>
          </w:tbl>
          <w:p w14:paraId="29B5ADFA" w14:textId="77777777" w:rsidR="008A56D4" w:rsidRPr="00513D37" w:rsidRDefault="008A56D4" w:rsidP="0081770D">
            <w:pPr>
              <w:pStyle w:val="FootnoteText"/>
              <w:rPr>
                <w:lang w:val="en-US"/>
              </w:rPr>
            </w:pPr>
          </w:p>
        </w:tc>
      </w:tr>
      <w:tr w:rsidR="008A56D4" w:rsidRPr="004601FD" w14:paraId="37BEF3D3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65CAFFA9" w14:textId="77777777" w:rsidR="008A56D4" w:rsidRPr="004601FD" w:rsidRDefault="008A56D4" w:rsidP="0081770D">
            <w:pPr>
              <w:rPr>
                <w:b/>
                <w:color w:val="FFFFFF"/>
                <w:lang w:val="en-US"/>
              </w:rPr>
            </w:pPr>
            <w:r w:rsidRPr="004601FD">
              <w:rPr>
                <w:b/>
                <w:color w:val="FFFFFF"/>
                <w:lang w:val="en-US"/>
              </w:rPr>
              <w:lastRenderedPageBreak/>
              <w:t>10. Verification of learning outcomes:</w:t>
            </w:r>
          </w:p>
        </w:tc>
      </w:tr>
      <w:tr w:rsidR="008A56D4" w:rsidRPr="00513D37" w14:paraId="0FA2FD17" w14:textId="77777777" w:rsidTr="59EA390A">
        <w:trPr>
          <w:trHeight w:val="343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14:paraId="339CC20A" w14:textId="78FA39FF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lang w:val="en-US"/>
              </w:rPr>
              <w:t xml:space="preserve">Outcome </w:t>
            </w:r>
            <w:r w:rsidR="00843747">
              <w:rPr>
                <w:b/>
                <w:lang w:val="en-US"/>
              </w:rPr>
              <w:t>number</w:t>
            </w:r>
          </w:p>
        </w:tc>
        <w:tc>
          <w:tcPr>
            <w:tcW w:w="8484" w:type="dxa"/>
            <w:gridSpan w:val="8"/>
            <w:shd w:val="clear" w:color="auto" w:fill="FFFFFF" w:themeFill="background1"/>
            <w:vAlign w:val="center"/>
          </w:tcPr>
          <w:p w14:paraId="1FCCD20D" w14:textId="77777777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bCs/>
                <w:lang w:val="en-US"/>
              </w:rPr>
              <w:t>Evaluation method</w:t>
            </w:r>
          </w:p>
        </w:tc>
      </w:tr>
      <w:tr w:rsidR="008A56D4" w:rsidRPr="00B35D5E" w14:paraId="757F0780" w14:textId="77777777" w:rsidTr="59EA390A">
        <w:tc>
          <w:tcPr>
            <w:tcW w:w="1843" w:type="dxa"/>
            <w:gridSpan w:val="3"/>
            <w:vMerge/>
            <w:vAlign w:val="center"/>
          </w:tcPr>
          <w:p w14:paraId="7AD40FF4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74F11D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Open-ended questions</w:t>
            </w:r>
          </w:p>
          <w:p w14:paraId="0552A78D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test and mini-tests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80A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Computational questions</w:t>
            </w:r>
          </w:p>
          <w:p w14:paraId="483F2605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tests and mini-tests</w:t>
            </w:r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57FF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Individual task</w:t>
            </w:r>
            <w:r>
              <w:rPr>
                <w:lang w:val="en-US"/>
              </w:rPr>
              <w:br/>
            </w:r>
            <w:r w:rsidRPr="00395379">
              <w:rPr>
                <w:i/>
                <w:lang w:val="en-US"/>
              </w:rPr>
              <w:t>(document for teacher’s feedback and evaluation prepared by individual)</w:t>
            </w:r>
          </w:p>
        </w:tc>
        <w:tc>
          <w:tcPr>
            <w:tcW w:w="2672" w:type="dxa"/>
            <w:gridSpan w:val="4"/>
            <w:shd w:val="clear" w:color="auto" w:fill="FFFFFF" w:themeFill="background1"/>
            <w:vAlign w:val="center"/>
          </w:tcPr>
          <w:p w14:paraId="2416A4B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 project</w:t>
            </w:r>
          </w:p>
          <w:p w14:paraId="13BA84A2" w14:textId="77777777" w:rsidR="008A56D4" w:rsidRPr="00395379" w:rsidRDefault="008A56D4" w:rsidP="0081770D">
            <w:pPr>
              <w:jc w:val="center"/>
              <w:rPr>
                <w:i/>
                <w:lang w:val="en-US"/>
              </w:rPr>
            </w:pPr>
            <w:r w:rsidRPr="00395379">
              <w:rPr>
                <w:i/>
                <w:lang w:val="en-US"/>
              </w:rPr>
              <w:t>(document for teacher’s feedback and evaluation prepared by group of students)</w:t>
            </w:r>
          </w:p>
        </w:tc>
      </w:tr>
      <w:tr w:rsidR="008A56D4" w:rsidRPr="00513D37" w14:paraId="7D8E24BC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254FB2BC" w14:textId="55D0EE6D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D88AC3C" w14:textId="147DB739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F44871C" w14:textId="1D411451" w:rsidR="008A56D4" w:rsidRPr="0029429B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3002D32" w14:textId="5E89361C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8D2798F" w14:textId="50EDC31C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</w:tr>
      <w:tr w:rsidR="008A56D4" w:rsidRPr="00513D37" w14:paraId="67373699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51244392" w14:textId="4B57C19C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7411ADE" w14:textId="35EAB06B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7B0A6E5" w14:textId="64B52324" w:rsidR="008A56D4" w:rsidRPr="0029429B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EFF5690" w14:textId="0C54D19B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54A8B511" w14:textId="2CF9D996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</w:tr>
      <w:tr w:rsidR="008A56D4" w:rsidRPr="00513D37" w14:paraId="05DC17A3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4C367B3A" w14:textId="00AB5ABD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1222C45" w14:textId="077EC0E2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70948DA" w14:textId="1412135E" w:rsidR="008A56D4" w:rsidRPr="0029429B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A3CC1B7" w14:textId="61181B70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47E06052" w14:textId="74E18647" w:rsidR="008A56D4" w:rsidRPr="0029429B" w:rsidRDefault="00053D2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</w:tr>
      <w:tr w:rsidR="008A56D4" w:rsidRPr="00513D37" w14:paraId="0E8B9C36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678386A1" w14:textId="19EF946A" w:rsidR="008A56D4" w:rsidRDefault="00D2719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3BD0B417" w14:textId="24BA4092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099BBE2" w14:textId="77777777" w:rsidR="008A56D4" w:rsidRPr="0029429B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4C9ABA9" w14:textId="5D2E7D6A" w:rsidR="008A56D4" w:rsidRPr="0029429B" w:rsidRDefault="00D27197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7CB5513" w14:textId="171D6167" w:rsidR="008A56D4" w:rsidRPr="0029429B" w:rsidRDefault="00D27197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</w:tr>
      <w:tr w:rsidR="008A56D4" w:rsidRPr="00513D37" w14:paraId="6BA41124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CF48315" w14:textId="614775D8" w:rsidR="008A56D4" w:rsidRDefault="00CF208C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B5590B2" w14:textId="184BE9CC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C9CF539" w14:textId="77777777" w:rsidR="008A56D4" w:rsidRPr="0029429B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C786F96" w14:textId="3354F8E6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735DAC33" w14:textId="5DDD5576" w:rsidR="008A56D4" w:rsidRPr="0029429B" w:rsidRDefault="0029429B" w:rsidP="0081770D">
            <w:pPr>
              <w:jc w:val="center"/>
              <w:rPr>
                <w:lang w:val="en-US"/>
              </w:rPr>
            </w:pPr>
            <w:r w:rsidRPr="0029429B">
              <w:rPr>
                <w:lang w:val="en-US"/>
              </w:rPr>
              <w:t>x</w:t>
            </w:r>
          </w:p>
        </w:tc>
      </w:tr>
    </w:tbl>
    <w:p w14:paraId="7C53ED8D" w14:textId="77777777" w:rsidR="0062326F" w:rsidRPr="0000463F" w:rsidRDefault="0062326F">
      <w:pPr>
        <w:rPr>
          <w:rFonts w:asciiTheme="minorHAnsi" w:hAnsiTheme="minorHAnsi" w:cstheme="minorHAnsi"/>
          <w:lang w:val="en-US"/>
        </w:rPr>
      </w:pPr>
    </w:p>
    <w:sectPr w:rsidR="0062326F" w:rsidRPr="0000463F" w:rsidSect="005776FD">
      <w:headerReference w:type="default" r:id="rId17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B3F1" w14:textId="77777777" w:rsidR="007E08A4" w:rsidRDefault="007E08A4" w:rsidP="005776FD">
      <w:r>
        <w:separator/>
      </w:r>
    </w:p>
  </w:endnote>
  <w:endnote w:type="continuationSeparator" w:id="0">
    <w:p w14:paraId="2E8F7981" w14:textId="77777777" w:rsidR="007E08A4" w:rsidRDefault="007E08A4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D0B7" w14:textId="77777777" w:rsidR="007E08A4" w:rsidRDefault="007E08A4" w:rsidP="005776FD">
      <w:r>
        <w:separator/>
      </w:r>
    </w:p>
  </w:footnote>
  <w:footnote w:type="continuationSeparator" w:id="0">
    <w:p w14:paraId="2D4A89AF" w14:textId="77777777" w:rsidR="007E08A4" w:rsidRDefault="007E08A4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DCF8" w14:textId="636F621E" w:rsidR="005776FD" w:rsidRPr="005776FD" w:rsidRDefault="005776FD" w:rsidP="009B7EE7">
    <w:pPr>
      <w:pStyle w:val="Header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22A"/>
    <w:multiLevelType w:val="hybridMultilevel"/>
    <w:tmpl w:val="CD667BD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2F1"/>
    <w:multiLevelType w:val="hybridMultilevel"/>
    <w:tmpl w:val="0BF4E798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 w15:restartNumberingAfterBreak="0">
    <w:nsid w:val="12323BFB"/>
    <w:multiLevelType w:val="hybridMultilevel"/>
    <w:tmpl w:val="8D66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0AE"/>
    <w:multiLevelType w:val="hybridMultilevel"/>
    <w:tmpl w:val="CD667BD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C6F"/>
    <w:multiLevelType w:val="hybridMultilevel"/>
    <w:tmpl w:val="F17A7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7878"/>
    <w:multiLevelType w:val="hybridMultilevel"/>
    <w:tmpl w:val="D4B6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706B"/>
    <w:multiLevelType w:val="hybridMultilevel"/>
    <w:tmpl w:val="18B8AD1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 w15:restartNumberingAfterBreak="0">
    <w:nsid w:val="3E2C6C10"/>
    <w:multiLevelType w:val="hybridMultilevel"/>
    <w:tmpl w:val="CD667BD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7DAA"/>
    <w:multiLevelType w:val="hybridMultilevel"/>
    <w:tmpl w:val="93468B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B4A28"/>
    <w:multiLevelType w:val="hybridMultilevel"/>
    <w:tmpl w:val="886AB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5251"/>
    <w:multiLevelType w:val="hybridMultilevel"/>
    <w:tmpl w:val="519C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5412"/>
    <w:multiLevelType w:val="multilevel"/>
    <w:tmpl w:val="FF6ED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00" w:hanging="1440"/>
      </w:pPr>
      <w:rPr>
        <w:rFonts w:hint="default"/>
        <w:b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D"/>
    <w:rsid w:val="0000421C"/>
    <w:rsid w:val="0000463F"/>
    <w:rsid w:val="00025628"/>
    <w:rsid w:val="00031E8D"/>
    <w:rsid w:val="00045193"/>
    <w:rsid w:val="00053D2B"/>
    <w:rsid w:val="000668D5"/>
    <w:rsid w:val="0008171B"/>
    <w:rsid w:val="000836B3"/>
    <w:rsid w:val="000867D0"/>
    <w:rsid w:val="0009343F"/>
    <w:rsid w:val="000C2ABB"/>
    <w:rsid w:val="001169B6"/>
    <w:rsid w:val="00123992"/>
    <w:rsid w:val="00125FD3"/>
    <w:rsid w:val="00140521"/>
    <w:rsid w:val="00165949"/>
    <w:rsid w:val="00196875"/>
    <w:rsid w:val="001B6E99"/>
    <w:rsid w:val="001C3390"/>
    <w:rsid w:val="001D431B"/>
    <w:rsid w:val="002455AA"/>
    <w:rsid w:val="0029429B"/>
    <w:rsid w:val="002A540C"/>
    <w:rsid w:val="002B679A"/>
    <w:rsid w:val="002E43CF"/>
    <w:rsid w:val="00373CA3"/>
    <w:rsid w:val="00376422"/>
    <w:rsid w:val="003872F2"/>
    <w:rsid w:val="003B4CBF"/>
    <w:rsid w:val="00411B16"/>
    <w:rsid w:val="004223F9"/>
    <w:rsid w:val="004251B6"/>
    <w:rsid w:val="00426236"/>
    <w:rsid w:val="004504FC"/>
    <w:rsid w:val="004651BE"/>
    <w:rsid w:val="00492C47"/>
    <w:rsid w:val="00497F37"/>
    <w:rsid w:val="004E15BF"/>
    <w:rsid w:val="004E31BF"/>
    <w:rsid w:val="00505FCF"/>
    <w:rsid w:val="00506150"/>
    <w:rsid w:val="00521E8C"/>
    <w:rsid w:val="00561CC2"/>
    <w:rsid w:val="00572134"/>
    <w:rsid w:val="005776FD"/>
    <w:rsid w:val="005B4A84"/>
    <w:rsid w:val="005D19E8"/>
    <w:rsid w:val="005E3D09"/>
    <w:rsid w:val="005F7AEF"/>
    <w:rsid w:val="006032A5"/>
    <w:rsid w:val="00606245"/>
    <w:rsid w:val="0062326F"/>
    <w:rsid w:val="0065547E"/>
    <w:rsid w:val="00660079"/>
    <w:rsid w:val="00662DD7"/>
    <w:rsid w:val="00667DEE"/>
    <w:rsid w:val="00696217"/>
    <w:rsid w:val="0070640C"/>
    <w:rsid w:val="00724AE4"/>
    <w:rsid w:val="007250CB"/>
    <w:rsid w:val="00740D3B"/>
    <w:rsid w:val="00751D86"/>
    <w:rsid w:val="00753BAA"/>
    <w:rsid w:val="007554AC"/>
    <w:rsid w:val="0078354C"/>
    <w:rsid w:val="00786470"/>
    <w:rsid w:val="0079227E"/>
    <w:rsid w:val="0079504F"/>
    <w:rsid w:val="007A1B4E"/>
    <w:rsid w:val="007A3541"/>
    <w:rsid w:val="007C27E5"/>
    <w:rsid w:val="007E08A4"/>
    <w:rsid w:val="007E60B9"/>
    <w:rsid w:val="00801FEB"/>
    <w:rsid w:val="00817D4D"/>
    <w:rsid w:val="00835BE4"/>
    <w:rsid w:val="0084023A"/>
    <w:rsid w:val="00843747"/>
    <w:rsid w:val="00890FE4"/>
    <w:rsid w:val="008A4D13"/>
    <w:rsid w:val="008A56D4"/>
    <w:rsid w:val="008C19A7"/>
    <w:rsid w:val="00912D7A"/>
    <w:rsid w:val="009342DD"/>
    <w:rsid w:val="00962FC8"/>
    <w:rsid w:val="0096570C"/>
    <w:rsid w:val="009B7C09"/>
    <w:rsid w:val="009B7EE7"/>
    <w:rsid w:val="009E6E48"/>
    <w:rsid w:val="00A2123F"/>
    <w:rsid w:val="00A379F0"/>
    <w:rsid w:val="00A416A7"/>
    <w:rsid w:val="00A4233A"/>
    <w:rsid w:val="00A46073"/>
    <w:rsid w:val="00A5575C"/>
    <w:rsid w:val="00A82996"/>
    <w:rsid w:val="00AA08E9"/>
    <w:rsid w:val="00AC6C62"/>
    <w:rsid w:val="00AE4CA3"/>
    <w:rsid w:val="00B04F75"/>
    <w:rsid w:val="00B12EC5"/>
    <w:rsid w:val="00B31E3A"/>
    <w:rsid w:val="00B35D5E"/>
    <w:rsid w:val="00B37E4F"/>
    <w:rsid w:val="00B415D3"/>
    <w:rsid w:val="00B5020C"/>
    <w:rsid w:val="00B53AD3"/>
    <w:rsid w:val="00B543E0"/>
    <w:rsid w:val="00B70CAD"/>
    <w:rsid w:val="00B71A5F"/>
    <w:rsid w:val="00BA134B"/>
    <w:rsid w:val="00BC28C6"/>
    <w:rsid w:val="00BD245F"/>
    <w:rsid w:val="00C14D5F"/>
    <w:rsid w:val="00C40BB9"/>
    <w:rsid w:val="00C436F4"/>
    <w:rsid w:val="00C642A6"/>
    <w:rsid w:val="00CD40B1"/>
    <w:rsid w:val="00CF208C"/>
    <w:rsid w:val="00D14AC9"/>
    <w:rsid w:val="00D2395E"/>
    <w:rsid w:val="00D254B4"/>
    <w:rsid w:val="00D27197"/>
    <w:rsid w:val="00D35455"/>
    <w:rsid w:val="00D9565B"/>
    <w:rsid w:val="00DA3662"/>
    <w:rsid w:val="00DA632F"/>
    <w:rsid w:val="00DC2350"/>
    <w:rsid w:val="00DD21EB"/>
    <w:rsid w:val="00DD2544"/>
    <w:rsid w:val="00DE5427"/>
    <w:rsid w:val="00DE66C0"/>
    <w:rsid w:val="00E360AE"/>
    <w:rsid w:val="00E41761"/>
    <w:rsid w:val="00E51C83"/>
    <w:rsid w:val="00E83AAC"/>
    <w:rsid w:val="00EA042C"/>
    <w:rsid w:val="00EB7753"/>
    <w:rsid w:val="00ED46EA"/>
    <w:rsid w:val="00F17E69"/>
    <w:rsid w:val="00F5678B"/>
    <w:rsid w:val="00FA213B"/>
    <w:rsid w:val="00FC60CA"/>
    <w:rsid w:val="00FD091A"/>
    <w:rsid w:val="00FD3876"/>
    <w:rsid w:val="00FD787E"/>
    <w:rsid w:val="00FF71A7"/>
    <w:rsid w:val="0A54C028"/>
    <w:rsid w:val="1D07599C"/>
    <w:rsid w:val="2D40E6D3"/>
    <w:rsid w:val="590F5575"/>
    <w:rsid w:val="59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3590F"/>
  <w15:docId w15:val="{8584D750-1A6A-AB49-8572-BED1A5A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">
    <w:name w:val="Tabela - Siatka1"/>
    <w:basedOn w:val="TableNormal"/>
    <w:next w:val="TableGrid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"/>
    <w:rsid w:val="008A56D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A56D4"/>
  </w:style>
  <w:style w:type="character" w:customStyle="1" w:styleId="FootnoteTextChar">
    <w:name w:val="Footnote Text Char"/>
    <w:basedOn w:val="DefaultParagraphFont"/>
    <w:link w:val="FootnoteText"/>
    <w:semiHidden/>
    <w:rsid w:val="008A56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4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styleId="Hyperlink">
    <w:name w:val="Hyperlink"/>
    <w:basedOn w:val="DefaultParagraphFont"/>
    <w:uiPriority w:val="99"/>
    <w:unhideWhenUsed/>
    <w:rsid w:val="00C14D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D5F"/>
    <w:rPr>
      <w:color w:val="605E5C"/>
      <w:shd w:val="clear" w:color="auto" w:fill="E1DFDD"/>
    </w:rPr>
  </w:style>
  <w:style w:type="paragraph" w:styleId="NoSpacing">
    <w:name w:val="No Spacing"/>
    <w:aliases w:val="testo tesi"/>
    <w:link w:val="NoSpacingChar"/>
    <w:uiPriority w:val="1"/>
    <w:qFormat/>
    <w:rsid w:val="00A5575C"/>
    <w:pPr>
      <w:spacing w:after="0" w:line="240" w:lineRule="auto"/>
    </w:pPr>
    <w:rPr>
      <w:rFonts w:ascii="Calibri" w:eastAsia="Times New Roman" w:hAnsi="Calibri" w:cs="Times New Roman"/>
      <w:lang w:val="en-GB" w:eastAsia="is-IS"/>
    </w:rPr>
  </w:style>
  <w:style w:type="character" w:customStyle="1" w:styleId="NoSpacingChar">
    <w:name w:val="No Spacing Char"/>
    <w:aliases w:val="testo tesi Char"/>
    <w:basedOn w:val="DefaultParagraphFont"/>
    <w:link w:val="NoSpacing"/>
    <w:uiPriority w:val="1"/>
    <w:rsid w:val="00A5575C"/>
    <w:rPr>
      <w:rFonts w:ascii="Calibri" w:eastAsia="Times New Roman" w:hAnsi="Calibri" w:cs="Times New Roman"/>
      <w:lang w:val="en-GB" w:eastAsia="is-IS"/>
    </w:rPr>
  </w:style>
  <w:style w:type="character" w:styleId="Emphasis">
    <w:name w:val="Emphasis"/>
    <w:basedOn w:val="DefaultParagraphFont"/>
    <w:uiPriority w:val="20"/>
    <w:qFormat/>
    <w:rsid w:val="00116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8PRuxMprSDQ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51_21Euh6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IYvfi9bd-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M_2SK06o4LrNTconbSUUk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6lVZ569wsk" TargetMode="External"/><Relationship Id="rId10" Type="http://schemas.openxmlformats.org/officeDocument/2006/relationships/hyperlink" Target="https://gcm.unu.edu/publications/policy-reports/the-european-migrant-crisis-psychology-conflict-and-intergroup-relation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hcr.org/3d98623a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1E9716C953248922199565E435658" ma:contentTypeVersion="11" ma:contentTypeDescription="Create a new document." ma:contentTypeScope="" ma:versionID="7c54ffe5a00c346f38aeeea2b9e32856">
  <xsd:schema xmlns:xsd="http://www.w3.org/2001/XMLSchema" xmlns:xs="http://www.w3.org/2001/XMLSchema" xmlns:p="http://schemas.microsoft.com/office/2006/metadata/properties" xmlns:ns3="d9f922af-7ef2-4ae6-9488-57d0520f7a38" xmlns:ns4="477262a0-dbd3-428e-94d7-c0a3c4dfd5f0" targetNamespace="http://schemas.microsoft.com/office/2006/metadata/properties" ma:root="true" ma:fieldsID="9f7897d6be42573f78f732e36f2fa8b0" ns3:_="" ns4:_="">
    <xsd:import namespace="d9f922af-7ef2-4ae6-9488-57d0520f7a38"/>
    <xsd:import namespace="477262a0-dbd3-428e-94d7-c0a3c4dfd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2af-7ef2-4ae6-9488-57d0520f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2a0-dbd3-428e-94d7-c0a3c4df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A00F-3802-481C-BCF3-FF9417CDE92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477262a0-dbd3-428e-94d7-c0a3c4dfd5f0"/>
    <ds:schemaRef ds:uri="d9f922af-7ef2-4ae6-9488-57d0520f7a38"/>
  </ds:schemaRefs>
</ds:datastoreItem>
</file>

<file path=customXml/itemProps2.xml><?xml version="1.0" encoding="utf-8"?>
<ds:datastoreItem xmlns:ds="http://schemas.openxmlformats.org/officeDocument/2006/customXml" ds:itemID="{255BD89A-76F1-4ADC-8411-ED2AC8F9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7800E-6CFD-460F-9F1A-2853C4B6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2af-7ef2-4ae6-9488-57d0520f7a38"/>
    <ds:schemaRef ds:uri="477262a0-dbd3-428e-94d7-c0a3c4dfd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Markus Hermann Meckl</cp:lastModifiedBy>
  <cp:revision>2</cp:revision>
  <dcterms:created xsi:type="dcterms:W3CDTF">2020-09-30T10:37:00Z</dcterms:created>
  <dcterms:modified xsi:type="dcterms:W3CDTF">2020-09-30T10:37:00Z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0x0101003F01E9716C953248922199565E435658</vt:lpwstr>
  </property>
</Properties>
</file>